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4000"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 w14:paraId="261A1300">
      <w:pPr>
        <w:spacing w:line="259" w:lineRule="auto"/>
        <w:rPr>
          <w:rFonts w:ascii="Arial"/>
          <w:sz w:val="21"/>
        </w:rPr>
      </w:pPr>
    </w:p>
    <w:p w14:paraId="20F64910">
      <w:pPr>
        <w:spacing w:before="354" w:line="2240" w:lineRule="exact"/>
        <w:jc w:val="right"/>
        <w:outlineLvl w:val="0"/>
        <w:rPr>
          <w:rFonts w:ascii="宋体" w:hAnsi="宋体" w:eastAsia="宋体" w:cs="宋体"/>
          <w:sz w:val="109"/>
          <w:szCs w:val="109"/>
        </w:rPr>
      </w:pPr>
      <w:r>
        <w:fldChar w:fldCharType="begin"/>
      </w:r>
      <w:r>
        <w:instrText xml:space="preserve">EQ \* jc3 \* hps105 \o\al(\s\up 24(</w:instrText>
      </w:r>
      <w:r>
        <w:rPr>
          <w:rFonts w:ascii="宋体" w:hAnsi="宋体" w:eastAsia="宋体" w:cs="宋体"/>
          <w:b/>
          <w:bCs/>
          <w:color w:val="E04020"/>
          <w:spacing w:val="1"/>
          <w:w w:val="62"/>
          <w:position w:val="25"/>
          <w:sz w:val="105"/>
          <w:szCs w:val="105"/>
        </w:rPr>
        <w:instrText xml:space="preserve">吉林省工业和信息化厅</w:instrText>
      </w:r>
      <w:r>
        <w:instrText xml:space="preserve">),</w:instrText>
      </w:r>
      <w:r>
        <w:rPr>
          <w:rFonts w:ascii="宋体" w:hAnsi="宋体" w:eastAsia="宋体" w:cs="宋体"/>
          <w:b/>
          <w:bCs/>
          <w:color w:val="E04020"/>
          <w:spacing w:val="1"/>
          <w:w w:val="101"/>
          <w:position w:val="-45"/>
          <w:sz w:val="109"/>
          <w:szCs w:val="109"/>
        </w:rPr>
        <w:instrText xml:space="preserve">吉林省财政厅</w:instrText>
      </w:r>
      <w:r>
        <w:instrText xml:space="preserve">)</w:instrText>
      </w:r>
      <w:r>
        <w:fldChar w:fldCharType="end"/>
      </w:r>
      <w:r>
        <w:rPr>
          <w:rFonts w:ascii="宋体" w:hAnsi="宋体" w:eastAsia="宋体" w:cs="宋体"/>
          <w:b/>
          <w:bCs/>
          <w:color w:val="E04020"/>
          <w:spacing w:val="-113"/>
          <w:w w:val="91"/>
          <w:position w:val="10"/>
          <w:sz w:val="109"/>
          <w:szCs w:val="109"/>
        </w:rPr>
        <w:t>文</w:t>
      </w:r>
      <w:r>
        <w:rPr>
          <w:rFonts w:ascii="宋体" w:hAnsi="宋体" w:eastAsia="宋体" w:cs="宋体"/>
          <w:b/>
          <w:bCs/>
          <w:color w:val="E04020"/>
          <w:spacing w:val="-47"/>
          <w:w w:val="91"/>
          <w:position w:val="10"/>
          <w:sz w:val="109"/>
          <w:szCs w:val="109"/>
        </w:rPr>
        <w:t>件</w:t>
      </w:r>
    </w:p>
    <w:p w14:paraId="1A9BD2E5">
      <w:pPr>
        <w:spacing w:line="287" w:lineRule="auto"/>
        <w:rPr>
          <w:rFonts w:ascii="Arial"/>
          <w:sz w:val="21"/>
        </w:rPr>
      </w:pPr>
    </w:p>
    <w:p w14:paraId="053664FC">
      <w:pPr>
        <w:spacing w:line="287" w:lineRule="auto"/>
        <w:rPr>
          <w:rFonts w:ascii="Arial"/>
          <w:sz w:val="21"/>
        </w:rPr>
      </w:pPr>
    </w:p>
    <w:p w14:paraId="76B17FBA">
      <w:pPr>
        <w:spacing w:line="288" w:lineRule="auto"/>
        <w:rPr>
          <w:rFonts w:ascii="Arial"/>
          <w:sz w:val="21"/>
        </w:rPr>
      </w:pPr>
    </w:p>
    <w:p w14:paraId="193A427F">
      <w:pPr>
        <w:pStyle w:val="2"/>
        <w:spacing w:before="104" w:line="222" w:lineRule="auto"/>
        <w:ind w:left="2590"/>
      </w:pPr>
      <w:r>
        <w:rPr>
          <w:spacing w:val="-10"/>
        </w:rPr>
        <w:t>吉工信办联〔2024〕49号</w:t>
      </w:r>
    </w:p>
    <w:p w14:paraId="479FA950">
      <w:pPr>
        <w:spacing w:before="46" w:line="60" w:lineRule="exact"/>
      </w:pPr>
      <w:r>
        <w:rPr>
          <w:position w:val="-1"/>
        </w:rPr>
        <w:drawing>
          <wp:inline distT="0" distB="0" distL="0" distR="0">
            <wp:extent cx="54483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48353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C146">
      <w:pPr>
        <w:spacing w:line="241" w:lineRule="auto"/>
        <w:rPr>
          <w:rFonts w:ascii="Arial"/>
          <w:sz w:val="21"/>
        </w:rPr>
      </w:pPr>
    </w:p>
    <w:p w14:paraId="1C778AAE">
      <w:pPr>
        <w:spacing w:line="242" w:lineRule="auto"/>
        <w:rPr>
          <w:rFonts w:ascii="Arial"/>
          <w:sz w:val="21"/>
        </w:rPr>
      </w:pPr>
    </w:p>
    <w:p w14:paraId="111E3917">
      <w:pPr>
        <w:spacing w:line="242" w:lineRule="auto"/>
        <w:rPr>
          <w:rFonts w:ascii="Arial"/>
          <w:sz w:val="21"/>
        </w:rPr>
      </w:pPr>
    </w:p>
    <w:p w14:paraId="60CC6872">
      <w:pPr>
        <w:spacing w:line="242" w:lineRule="auto"/>
        <w:rPr>
          <w:rFonts w:ascii="Arial"/>
          <w:sz w:val="21"/>
        </w:rPr>
      </w:pPr>
    </w:p>
    <w:p w14:paraId="6C3F2EE7">
      <w:pPr>
        <w:spacing w:before="149" w:line="219" w:lineRule="auto"/>
        <w:ind w:left="1625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5"/>
          <w:sz w:val="46"/>
          <w:szCs w:val="46"/>
        </w:rPr>
        <w:t>吉林省工信厅</w:t>
      </w:r>
      <w:r>
        <w:rPr>
          <w:rFonts w:ascii="宋体" w:hAnsi="宋体" w:eastAsia="宋体" w:cs="宋体"/>
          <w:spacing w:val="150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45"/>
          <w:sz w:val="46"/>
          <w:szCs w:val="46"/>
        </w:rPr>
        <w:t>吉林省财政厅</w:t>
      </w:r>
    </w:p>
    <w:p w14:paraId="730E0E73">
      <w:pPr>
        <w:spacing w:before="153" w:line="219" w:lineRule="auto"/>
        <w:ind w:left="1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8"/>
          <w:sz w:val="44"/>
          <w:szCs w:val="44"/>
        </w:rPr>
        <w:t>关于印发《吉林省制造业“智改数转”项目、</w:t>
      </w:r>
    </w:p>
    <w:p w14:paraId="1203D3F6">
      <w:pPr>
        <w:spacing w:before="128" w:line="219" w:lineRule="auto"/>
        <w:ind w:left="3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示范工厂(车间)、云平台和系统解决方案</w:t>
      </w:r>
    </w:p>
    <w:p w14:paraId="3B9AF5FE">
      <w:pPr>
        <w:spacing w:before="115" w:line="219" w:lineRule="auto"/>
        <w:ind w:left="7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供应商奖补实施细则(暂行)》的通知</w:t>
      </w:r>
    </w:p>
    <w:p w14:paraId="27B5A605">
      <w:pPr>
        <w:spacing w:line="351" w:lineRule="auto"/>
        <w:rPr>
          <w:rFonts w:ascii="Arial"/>
          <w:sz w:val="21"/>
        </w:rPr>
      </w:pPr>
    </w:p>
    <w:p w14:paraId="09212282">
      <w:pPr>
        <w:pStyle w:val="2"/>
        <w:spacing w:before="104" w:line="220" w:lineRule="auto"/>
        <w:ind w:left="10" w:right="67"/>
      </w:pPr>
      <w:r>
        <w:rPr>
          <w:spacing w:val="-3"/>
        </w:rPr>
        <w:t>各市(州)、县(市)工信局、财政局，长白山</w:t>
      </w:r>
      <w:r>
        <w:rPr>
          <w:spacing w:val="-4"/>
        </w:rPr>
        <w:t>管委会经发局、财</w:t>
      </w:r>
      <w:r>
        <w:t xml:space="preserve"> </w:t>
      </w:r>
      <w:r>
        <w:rPr>
          <w:spacing w:val="-26"/>
        </w:rPr>
        <w:t>政局，梅河口市工信局、财政局，各有关单位：</w:t>
      </w:r>
    </w:p>
    <w:p w14:paraId="6BBA05DF">
      <w:pPr>
        <w:pStyle w:val="2"/>
        <w:spacing w:before="101" w:line="319" w:lineRule="auto"/>
        <w:ind w:left="10" w:right="126" w:firstLine="630"/>
        <w:jc w:val="both"/>
      </w:pPr>
      <w:r>
        <w:rPr>
          <w:spacing w:val="-29"/>
        </w:rPr>
        <w:t>为深入实施制造业“智改数转”三年行动，打造吉林省智</w:t>
      </w:r>
      <w:r>
        <w:rPr>
          <w:spacing w:val="-30"/>
        </w:rPr>
        <w:t>能制</w:t>
      </w:r>
      <w:r>
        <w:t xml:space="preserve"> </w:t>
      </w:r>
      <w:r>
        <w:rPr>
          <w:spacing w:val="-18"/>
        </w:rPr>
        <w:t>造标杆示范，引导和鼓励吉林省制造业数字化、网络化、智能化</w:t>
      </w:r>
      <w:r>
        <w:rPr>
          <w:spacing w:val="15"/>
        </w:rPr>
        <w:t xml:space="preserve"> </w:t>
      </w:r>
      <w:r>
        <w:rPr>
          <w:spacing w:val="-19"/>
        </w:rPr>
        <w:t>转型升级，依据《吉林省制造业智能化改造和数字化转型行动方</w:t>
      </w:r>
      <w:r>
        <w:rPr>
          <w:spacing w:val="10"/>
        </w:rPr>
        <w:t xml:space="preserve"> </w:t>
      </w:r>
      <w:r>
        <w:rPr>
          <w:spacing w:val="4"/>
        </w:rPr>
        <w:t>案(2023-2025年)》(数字吉林办〔2023〕5号)有关规定，特</w:t>
      </w:r>
      <w:r>
        <w:rPr>
          <w:spacing w:val="11"/>
        </w:rPr>
        <w:t xml:space="preserve"> </w:t>
      </w:r>
      <w:r>
        <w:rPr>
          <w:spacing w:val="-28"/>
        </w:rPr>
        <w:t>制定《吉林省制造业“智改数转”项目、示范工厂(车间)、云平台</w:t>
      </w:r>
      <w:r>
        <w:rPr>
          <w:spacing w:val="17"/>
        </w:rPr>
        <w:t xml:space="preserve"> </w:t>
      </w:r>
      <w:r>
        <w:rPr>
          <w:spacing w:val="-17"/>
        </w:rPr>
        <w:t>和系统解决方案供应商奖补实施细则(暂行)》。现印发你们，请</w:t>
      </w:r>
    </w:p>
    <w:p w14:paraId="3F836B2D">
      <w:pPr>
        <w:spacing w:line="319" w:lineRule="auto"/>
        <w:sectPr>
          <w:pgSz w:w="11910" w:h="16840"/>
          <w:pgMar w:top="1431" w:right="1786" w:bottom="0" w:left="1499" w:header="0" w:footer="0" w:gutter="0"/>
          <w:cols w:space="720" w:num="1"/>
        </w:sectPr>
      </w:pPr>
    </w:p>
    <w:p w14:paraId="35753614">
      <w:pPr>
        <w:spacing w:line="344" w:lineRule="auto"/>
        <w:rPr>
          <w:rFonts w:ascii="Arial"/>
          <w:sz w:val="21"/>
        </w:rPr>
      </w:pPr>
    </w:p>
    <w:p w14:paraId="5377FD84">
      <w:pPr>
        <w:spacing w:line="344" w:lineRule="auto"/>
        <w:rPr>
          <w:rFonts w:ascii="Arial"/>
          <w:sz w:val="21"/>
        </w:rPr>
      </w:pPr>
    </w:p>
    <w:p w14:paraId="3B668E66">
      <w:pPr>
        <w:pStyle w:val="2"/>
        <w:spacing w:before="104" w:line="221" w:lineRule="auto"/>
      </w:pPr>
      <w:r>
        <w:rPr>
          <w:spacing w:val="-20"/>
        </w:rPr>
        <w:t>遵照执行。</w:t>
      </w:r>
    </w:p>
    <w:p w14:paraId="40F7B9AA">
      <w:pPr>
        <w:spacing w:line="316" w:lineRule="auto"/>
        <w:rPr>
          <w:rFonts w:ascii="Arial"/>
          <w:sz w:val="21"/>
        </w:rPr>
      </w:pPr>
    </w:p>
    <w:p w14:paraId="519B84DD">
      <w:pPr>
        <w:pStyle w:val="2"/>
        <w:spacing w:before="104" w:line="219" w:lineRule="auto"/>
        <w:jc w:val="right"/>
      </w:pPr>
      <w:r>
        <w:rPr>
          <w:spacing w:val="-16"/>
        </w:rPr>
        <w:t>附件：</w:t>
      </w:r>
      <w:r>
        <w:rPr>
          <w:spacing w:val="-59"/>
        </w:rPr>
        <w:t xml:space="preserve"> </w:t>
      </w:r>
      <w:r>
        <w:rPr>
          <w:spacing w:val="-16"/>
        </w:rPr>
        <w:t>吉林省制造业“智改数转”项目、示范工厂(车间)、</w:t>
      </w:r>
    </w:p>
    <w:p w14:paraId="28D0DF55">
      <w:pPr>
        <w:pStyle w:val="2"/>
        <w:spacing w:before="134" w:line="221" w:lineRule="auto"/>
        <w:ind w:left="1640"/>
      </w:pPr>
      <w:r>
        <w:rPr>
          <w:spacing w:val="-9"/>
        </w:rPr>
        <w:t>云平台和系统解决方案供应商奖补实施细则(暂行)</w:t>
      </w:r>
    </w:p>
    <w:p w14:paraId="4A87A2B3">
      <w:pPr>
        <w:spacing w:line="28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100965</wp:posOffset>
            </wp:positionV>
            <wp:extent cx="1600200" cy="15748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0147" cy="1574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EAD7A">
      <w:pPr>
        <w:spacing w:line="290" w:lineRule="auto"/>
        <w:rPr>
          <w:rFonts w:ascii="Arial"/>
          <w:sz w:val="21"/>
        </w:rPr>
      </w:pPr>
    </w:p>
    <w:p w14:paraId="68D595B5">
      <w:pPr>
        <w:spacing w:line="290" w:lineRule="auto"/>
        <w:rPr>
          <w:rFonts w:ascii="Arial"/>
          <w:sz w:val="21"/>
        </w:rPr>
      </w:pPr>
    </w:p>
    <w:p w14:paraId="07BB1BC4">
      <w:pPr>
        <w:spacing w:line="290" w:lineRule="auto"/>
        <w:rPr>
          <w:rFonts w:ascii="Arial"/>
          <w:sz w:val="21"/>
        </w:rPr>
      </w:pPr>
    </w:p>
    <w:p w14:paraId="3AFD6C22">
      <w:pPr>
        <w:pStyle w:val="2"/>
        <w:spacing w:before="104" w:line="222" w:lineRule="auto"/>
        <w:ind w:left="5610"/>
      </w:pPr>
      <w:r>
        <w:pict>
          <v:shape id="_x0000_s1026" o:spid="_x0000_s1026" o:spt="202" type="#_x0000_t202" style="position:absolute;left:0pt;margin-left:61pt;margin-top:9.6pt;height:21.25pt;width:155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56FA75">
                  <w:pPr>
                    <w:pStyle w:val="2"/>
                    <w:spacing w:before="19" w:line="222" w:lineRule="auto"/>
                    <w:ind w:left="20"/>
                  </w:pPr>
                  <w:r>
                    <w:rPr>
                      <w:spacing w:val="-12"/>
                    </w:rPr>
                    <w:t>吉林省工业和信息化厅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-511810</wp:posOffset>
            </wp:positionV>
            <wp:extent cx="1574800" cy="15621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74812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吉林省财政厅</w:t>
      </w:r>
    </w:p>
    <w:p w14:paraId="06EF86F1">
      <w:pPr>
        <w:spacing w:line="468" w:lineRule="auto"/>
        <w:rPr>
          <w:rFonts w:ascii="Arial"/>
          <w:sz w:val="21"/>
        </w:rPr>
      </w:pPr>
    </w:p>
    <w:p w14:paraId="0DA2F094">
      <w:pPr>
        <w:pStyle w:val="2"/>
        <w:spacing w:before="104" w:line="222" w:lineRule="auto"/>
        <w:ind w:left="5360"/>
      </w:pPr>
      <w:r>
        <w:rPr>
          <w:spacing w:val="28"/>
        </w:rPr>
        <w:t>2024年8月23日</w:t>
      </w:r>
    </w:p>
    <w:p w14:paraId="6CA135C4">
      <w:pPr>
        <w:spacing w:line="222" w:lineRule="auto"/>
        <w:sectPr>
          <w:footerReference r:id="rId5" w:type="default"/>
          <w:pgSz w:w="11910" w:h="16840"/>
          <w:pgMar w:top="1431" w:right="1739" w:bottom="2036" w:left="1539" w:header="0" w:footer="1722" w:gutter="0"/>
          <w:cols w:space="720" w:num="1"/>
        </w:sectPr>
      </w:pPr>
    </w:p>
    <w:p w14:paraId="03CE3DB0">
      <w:pPr>
        <w:spacing w:line="358" w:lineRule="auto"/>
        <w:rPr>
          <w:rFonts w:ascii="Arial"/>
          <w:sz w:val="21"/>
        </w:rPr>
      </w:pPr>
    </w:p>
    <w:p w14:paraId="45F52BA2">
      <w:pPr>
        <w:spacing w:line="359" w:lineRule="auto"/>
        <w:rPr>
          <w:rFonts w:ascii="Arial"/>
          <w:sz w:val="21"/>
        </w:rPr>
      </w:pPr>
    </w:p>
    <w:p w14:paraId="65051329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3B0F0DCF">
      <w:pPr>
        <w:spacing w:line="285" w:lineRule="auto"/>
        <w:rPr>
          <w:rFonts w:ascii="Arial"/>
          <w:sz w:val="21"/>
        </w:rPr>
      </w:pPr>
    </w:p>
    <w:p w14:paraId="3AFC21FD">
      <w:pPr>
        <w:spacing w:line="285" w:lineRule="auto"/>
        <w:rPr>
          <w:rFonts w:ascii="Arial"/>
          <w:sz w:val="21"/>
        </w:rPr>
      </w:pPr>
    </w:p>
    <w:p w14:paraId="636B16BA">
      <w:pPr>
        <w:spacing w:before="153" w:line="219" w:lineRule="auto"/>
        <w:ind w:left="2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2"/>
          <w:sz w:val="47"/>
          <w:szCs w:val="47"/>
        </w:rPr>
        <w:t>吉林省制造业“智改数转”项目、示范工厂</w:t>
      </w:r>
    </w:p>
    <w:p w14:paraId="6759CE6D">
      <w:pPr>
        <w:spacing w:before="119" w:line="219" w:lineRule="auto"/>
        <w:ind w:left="7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6"/>
          <w:sz w:val="47"/>
          <w:szCs w:val="47"/>
        </w:rPr>
        <w:t>(车间)、云平台和系统解决方案供应商</w:t>
      </w:r>
    </w:p>
    <w:p w14:paraId="3C36F33B">
      <w:pPr>
        <w:spacing w:before="116" w:line="220" w:lineRule="auto"/>
        <w:ind w:left="22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8"/>
          <w:sz w:val="47"/>
          <w:szCs w:val="47"/>
        </w:rPr>
        <w:t>奖补实施细则(暂行)</w:t>
      </w:r>
    </w:p>
    <w:p w14:paraId="4BA4270D">
      <w:pPr>
        <w:spacing w:line="319" w:lineRule="auto"/>
        <w:rPr>
          <w:rFonts w:ascii="Arial"/>
          <w:sz w:val="21"/>
        </w:rPr>
      </w:pPr>
    </w:p>
    <w:p w14:paraId="23EB0706">
      <w:pPr>
        <w:spacing w:line="319" w:lineRule="auto"/>
        <w:rPr>
          <w:rFonts w:ascii="Arial"/>
          <w:sz w:val="21"/>
        </w:rPr>
      </w:pPr>
    </w:p>
    <w:p w14:paraId="22E7AFB4">
      <w:pPr>
        <w:spacing w:before="105" w:line="222" w:lineRule="auto"/>
        <w:ind w:left="35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4"/>
          <w:sz w:val="32"/>
          <w:szCs w:val="32"/>
        </w:rPr>
        <w:t>第一章总则</w:t>
      </w:r>
    </w:p>
    <w:p w14:paraId="25379608">
      <w:pPr>
        <w:pStyle w:val="2"/>
        <w:spacing w:before="202" w:line="313" w:lineRule="auto"/>
        <w:ind w:right="60" w:firstLine="660"/>
      </w:pPr>
      <w:r>
        <w:rPr>
          <w:spacing w:val="-9"/>
        </w:rPr>
        <w:t>第一条为深入实施制造业“智改数转”三年</w:t>
      </w:r>
      <w:r>
        <w:rPr>
          <w:spacing w:val="-10"/>
        </w:rPr>
        <w:t>行动，打造吉林</w:t>
      </w:r>
      <w:r>
        <w:t xml:space="preserve"> </w:t>
      </w:r>
      <w:r>
        <w:rPr>
          <w:spacing w:val="-15"/>
        </w:rPr>
        <w:t>省智能制造标杆示范，引导和鼓励吉林省制造业数字化、网络化、</w:t>
      </w:r>
      <w:r>
        <w:rPr>
          <w:spacing w:val="14"/>
        </w:rPr>
        <w:t xml:space="preserve"> </w:t>
      </w:r>
      <w:r>
        <w:rPr>
          <w:spacing w:val="-8"/>
        </w:rPr>
        <w:t>智能化转型升级，依据《吉林省制造业智能化改造和数字化转型</w:t>
      </w:r>
      <w:r>
        <w:rPr>
          <w:spacing w:val="14"/>
        </w:rPr>
        <w:t xml:space="preserve"> </w:t>
      </w:r>
      <w:r>
        <w:rPr>
          <w:spacing w:val="3"/>
        </w:rPr>
        <w:t>行动方案(2023-2025年)》(数字吉林办〔2023〕5 号，以下简</w:t>
      </w:r>
      <w:r>
        <w:rPr>
          <w:spacing w:val="2"/>
        </w:rPr>
        <w:t xml:space="preserve"> </w:t>
      </w:r>
      <w:r>
        <w:rPr>
          <w:spacing w:val="-10"/>
        </w:rPr>
        <w:t>称《行动方案》)有关规定，制定本实施细则。</w:t>
      </w:r>
    </w:p>
    <w:p w14:paraId="3660C794">
      <w:pPr>
        <w:pStyle w:val="2"/>
        <w:spacing w:before="181" w:line="306" w:lineRule="auto"/>
        <w:ind w:right="168" w:firstLine="660"/>
      </w:pPr>
      <w:r>
        <w:rPr>
          <w:spacing w:val="-9"/>
        </w:rPr>
        <w:t>第二条奖补政策由省工业和信息化厅会同省财政厅实施。省</w:t>
      </w:r>
      <w:r>
        <w:rPr>
          <w:spacing w:val="4"/>
        </w:rPr>
        <w:t xml:space="preserve"> </w:t>
      </w:r>
      <w:r>
        <w:rPr>
          <w:spacing w:val="-2"/>
        </w:rPr>
        <w:t>工业和信息化厅负责征集“智改数转”项目，认定示范工厂(车</w:t>
      </w:r>
      <w:r>
        <w:rPr>
          <w:spacing w:val="5"/>
        </w:rPr>
        <w:t xml:space="preserve"> </w:t>
      </w:r>
      <w:r>
        <w:rPr>
          <w:spacing w:val="-8"/>
        </w:rPr>
        <w:t>间),编报年度预算和组织项目审核等；省财政厅负责政策资金的</w:t>
      </w:r>
      <w:r>
        <w:rPr>
          <w:spacing w:val="1"/>
        </w:rPr>
        <w:t xml:space="preserve"> </w:t>
      </w:r>
      <w:r>
        <w:rPr>
          <w:spacing w:val="-15"/>
        </w:rPr>
        <w:t>筹集和拨付等。</w:t>
      </w:r>
    </w:p>
    <w:p w14:paraId="02B8B8BD">
      <w:pPr>
        <w:spacing w:line="337" w:lineRule="auto"/>
        <w:rPr>
          <w:rFonts w:ascii="Arial"/>
          <w:sz w:val="21"/>
        </w:rPr>
      </w:pPr>
    </w:p>
    <w:p w14:paraId="15906739">
      <w:pPr>
        <w:spacing w:line="337" w:lineRule="auto"/>
        <w:rPr>
          <w:rFonts w:ascii="Arial"/>
          <w:sz w:val="21"/>
        </w:rPr>
      </w:pPr>
    </w:p>
    <w:p w14:paraId="352E7EA5">
      <w:pPr>
        <w:spacing w:before="98" w:line="221" w:lineRule="auto"/>
        <w:ind w:left="23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3"/>
          <w:sz w:val="30"/>
          <w:szCs w:val="30"/>
        </w:rPr>
        <w:t>第二章支持范围、方式和标准</w:t>
      </w:r>
    </w:p>
    <w:p w14:paraId="57295558">
      <w:pPr>
        <w:pStyle w:val="2"/>
        <w:spacing w:before="225" w:line="329" w:lineRule="auto"/>
        <w:ind w:right="124" w:firstLine="660"/>
      </w:pPr>
      <w:r>
        <w:rPr>
          <w:spacing w:val="5"/>
        </w:rPr>
        <w:t>第三条对“智改数转”项目、示范工厂(车间)、云平台和</w:t>
      </w:r>
      <w:r>
        <w:rPr>
          <w:spacing w:val="4"/>
        </w:rPr>
        <w:t xml:space="preserve"> </w:t>
      </w:r>
      <w:r>
        <w:rPr>
          <w:spacing w:val="-10"/>
        </w:rPr>
        <w:t>智能制造系统解决方案供应商给予支持。</w:t>
      </w:r>
    </w:p>
    <w:p w14:paraId="2B82FDC6">
      <w:pPr>
        <w:pStyle w:val="2"/>
        <w:spacing w:before="1" w:line="218" w:lineRule="auto"/>
        <w:jc w:val="right"/>
      </w:pPr>
      <w:r>
        <w:rPr>
          <w:spacing w:val="-8"/>
        </w:rPr>
        <w:t>(一)“智改数转”项目。是指企业对现有研发设计、采购、</w:t>
      </w:r>
    </w:p>
    <w:p w14:paraId="4967BD20">
      <w:pPr>
        <w:spacing w:line="218" w:lineRule="auto"/>
        <w:sectPr>
          <w:footerReference r:id="rId6" w:type="default"/>
          <w:pgSz w:w="11910" w:h="16840"/>
          <w:pgMar w:top="1431" w:right="1469" w:bottom="1806" w:left="1519" w:header="0" w:footer="1494" w:gutter="0"/>
          <w:cols w:space="720" w:num="1"/>
        </w:sectPr>
      </w:pPr>
    </w:p>
    <w:p w14:paraId="608EAF19">
      <w:pPr>
        <w:spacing w:line="343" w:lineRule="auto"/>
        <w:rPr>
          <w:rFonts w:ascii="Arial"/>
          <w:sz w:val="21"/>
        </w:rPr>
      </w:pPr>
    </w:p>
    <w:p w14:paraId="299CCF9F">
      <w:pPr>
        <w:spacing w:line="343" w:lineRule="auto"/>
        <w:rPr>
          <w:rFonts w:ascii="Arial"/>
          <w:sz w:val="21"/>
        </w:rPr>
      </w:pPr>
    </w:p>
    <w:p w14:paraId="12685547">
      <w:pPr>
        <w:pStyle w:val="2"/>
        <w:spacing w:before="104" w:line="322" w:lineRule="auto"/>
        <w:ind w:right="304"/>
        <w:jc w:val="both"/>
      </w:pPr>
      <w:r>
        <w:rPr>
          <w:spacing w:val="-6"/>
        </w:rPr>
        <w:t>生产、检测、仓储、物流、销售等环节采用智能装备(生产线)</w:t>
      </w:r>
      <w:r>
        <w:rPr>
          <w:spacing w:val="7"/>
        </w:rPr>
        <w:t xml:space="preserve"> </w:t>
      </w:r>
      <w:r>
        <w:rPr>
          <w:spacing w:val="-15"/>
        </w:rPr>
        <w:t>和工业软件，开展系统集成，提升企业数字化、网络化、智能化</w:t>
      </w:r>
      <w:r>
        <w:rPr>
          <w:spacing w:val="11"/>
        </w:rPr>
        <w:t xml:space="preserve"> </w:t>
      </w:r>
      <w:r>
        <w:rPr>
          <w:spacing w:val="-17"/>
        </w:rPr>
        <w:t>水平的“智改数转”项目。</w:t>
      </w:r>
    </w:p>
    <w:p w14:paraId="37D3B12C">
      <w:pPr>
        <w:pStyle w:val="2"/>
        <w:spacing w:before="46" w:line="309" w:lineRule="auto"/>
        <w:ind w:right="207" w:firstLine="739"/>
      </w:pPr>
      <w:r>
        <w:rPr>
          <w:spacing w:val="5"/>
        </w:rPr>
        <w:t>(二)示范工厂(车间)。包括数字化车间(生产线)、智能</w:t>
      </w:r>
      <w:r>
        <w:rPr>
          <w:spacing w:val="2"/>
        </w:rPr>
        <w:t xml:space="preserve"> </w:t>
      </w:r>
      <w:r>
        <w:t xml:space="preserve">工厂和未来工厂，是指符合吉林省示范工厂(车间)建设标准， </w:t>
      </w:r>
      <w:r>
        <w:rPr>
          <w:spacing w:val="-22"/>
        </w:rPr>
        <w:t>综合运用数字化智能化技术、设备、软件和系统，在设计、生产、</w:t>
      </w:r>
      <w:r>
        <w:rPr>
          <w:spacing w:val="6"/>
        </w:rPr>
        <w:t xml:space="preserve"> </w:t>
      </w:r>
      <w:r>
        <w:rPr>
          <w:spacing w:val="-14"/>
        </w:rPr>
        <w:t>管理等方面具有良好数字化、智能化特征的生</w:t>
      </w:r>
      <w:r>
        <w:rPr>
          <w:spacing w:val="-15"/>
        </w:rPr>
        <w:t>产单元。省级示范</w:t>
      </w:r>
      <w:r>
        <w:t xml:space="preserve"> </w:t>
      </w:r>
      <w:r>
        <w:rPr>
          <w:spacing w:val="2"/>
        </w:rPr>
        <w:t>工厂(车间)由省工业和信息化厅按照《吉林省数字化车间(生</w:t>
      </w:r>
      <w:r>
        <w:rPr>
          <w:spacing w:val="18"/>
        </w:rPr>
        <w:t xml:space="preserve"> </w:t>
      </w:r>
      <w:r>
        <w:rPr>
          <w:spacing w:val="-14"/>
        </w:rPr>
        <w:t>产线)、智能工厂和未来工厂培育认定实施细则(暂行)》(吉工信</w:t>
      </w:r>
      <w:r>
        <w:rPr>
          <w:spacing w:val="9"/>
        </w:rPr>
        <w:t xml:space="preserve"> </w:t>
      </w:r>
      <w:r>
        <w:t>规划〔2024〕228号)组织审核认定。</w:t>
      </w:r>
    </w:p>
    <w:p w14:paraId="33ACE727">
      <w:pPr>
        <w:pStyle w:val="2"/>
        <w:spacing w:before="221" w:line="299" w:lineRule="auto"/>
        <w:ind w:right="167" w:firstLine="739"/>
      </w:pPr>
      <w:r>
        <w:rPr>
          <w:spacing w:val="-14"/>
        </w:rPr>
        <w:t>(三)云平台。是指基于公共网络，面向工业企业设备上云、</w:t>
      </w:r>
      <w:r>
        <w:rPr>
          <w:spacing w:val="6"/>
        </w:rPr>
        <w:t xml:space="preserve"> </w:t>
      </w:r>
      <w:r>
        <w:rPr>
          <w:spacing w:val="-15"/>
        </w:rPr>
        <w:t>管理上云、服务上云和数据上云，为工业企业提供研发设计、生</w:t>
      </w:r>
      <w:r>
        <w:rPr>
          <w:spacing w:val="14"/>
        </w:rPr>
        <w:t xml:space="preserve"> </w:t>
      </w:r>
      <w:r>
        <w:rPr>
          <w:spacing w:val="-10"/>
        </w:rPr>
        <w:t>产制造、经营管理等数字化赋能的云平台；所称的云平台企业，</w:t>
      </w:r>
      <w:r>
        <w:rPr>
          <w:spacing w:val="8"/>
        </w:rPr>
        <w:t xml:space="preserve"> </w:t>
      </w:r>
      <w:r>
        <w:rPr>
          <w:spacing w:val="-15"/>
        </w:rPr>
        <w:t>是指承担平台建设运营的企业、非公益事业单位。</w:t>
      </w:r>
    </w:p>
    <w:p w14:paraId="2D75ACFC">
      <w:pPr>
        <w:pStyle w:val="2"/>
        <w:spacing w:before="206" w:line="298" w:lineRule="auto"/>
        <w:ind w:right="284" w:firstLine="739"/>
      </w:pPr>
      <w:r>
        <w:rPr>
          <w:spacing w:val="-7"/>
        </w:rPr>
        <w:t>(四)智能制造系统解决方案供应商。是指从事智能制造软</w:t>
      </w:r>
      <w:r>
        <w:rPr>
          <w:spacing w:val="13"/>
        </w:rPr>
        <w:t xml:space="preserve"> </w:t>
      </w:r>
      <w:r>
        <w:rPr>
          <w:spacing w:val="-15"/>
        </w:rPr>
        <w:t>硬件装备和系统设计、生产、安装、调试，具备系统解决方案供</w:t>
      </w:r>
      <w:r>
        <w:rPr>
          <w:spacing w:val="7"/>
        </w:rPr>
        <w:t xml:space="preserve"> </w:t>
      </w:r>
      <w:r>
        <w:rPr>
          <w:spacing w:val="-14"/>
        </w:rPr>
        <w:t>应能力，能够提供数字化、网络化和智能化生产线、车间、工厂</w:t>
      </w:r>
      <w:r>
        <w:rPr>
          <w:spacing w:val="1"/>
        </w:rPr>
        <w:t xml:space="preserve"> </w:t>
      </w:r>
      <w:r>
        <w:rPr>
          <w:spacing w:val="-15"/>
        </w:rPr>
        <w:t>集成应用服务的产品供应商、服务提供商和系统集成商。</w:t>
      </w:r>
    </w:p>
    <w:p w14:paraId="70589333">
      <w:pPr>
        <w:pStyle w:val="2"/>
        <w:spacing w:before="179" w:line="326" w:lineRule="auto"/>
        <w:ind w:right="286" w:firstLine="629"/>
      </w:pPr>
      <w:r>
        <w:rPr>
          <w:spacing w:val="-15"/>
        </w:rPr>
        <w:t>第四条对使用贷款和自有资金实施“智改数转”项目的企业</w:t>
      </w:r>
      <w:r>
        <w:rPr>
          <w:spacing w:val="9"/>
        </w:rPr>
        <w:t xml:space="preserve"> </w:t>
      </w:r>
      <w:r>
        <w:rPr>
          <w:spacing w:val="-17"/>
        </w:rPr>
        <w:t>给予贷款贴息、担保费补助或事后奖补。</w:t>
      </w:r>
    </w:p>
    <w:p w14:paraId="7280FC03">
      <w:pPr>
        <w:pStyle w:val="2"/>
        <w:spacing w:before="12" w:line="331" w:lineRule="auto"/>
        <w:ind w:firstLine="739"/>
      </w:pPr>
      <w:r>
        <w:rPr>
          <w:spacing w:val="-8"/>
        </w:rPr>
        <w:t>(一)贷款贴息。对使用一年期及以上贷款实施“智改数转”</w:t>
      </w:r>
      <w:r>
        <w:rPr>
          <w:spacing w:val="12"/>
        </w:rPr>
        <w:t xml:space="preserve"> </w:t>
      </w:r>
      <w:r>
        <w:rPr>
          <w:spacing w:val="-10"/>
        </w:rPr>
        <w:t>项目的企业，根据贷款中用于项目软硬件(包括企业设备购置、</w:t>
      </w:r>
    </w:p>
    <w:p w14:paraId="4A6A6E82">
      <w:pPr>
        <w:spacing w:line="331" w:lineRule="auto"/>
        <w:sectPr>
          <w:footerReference r:id="rId7" w:type="default"/>
          <w:pgSz w:w="11910" w:h="16840"/>
          <w:pgMar w:top="1431" w:right="1362" w:bottom="2086" w:left="1690" w:header="0" w:footer="1772" w:gutter="0"/>
          <w:cols w:space="720" w:num="1"/>
        </w:sectPr>
      </w:pPr>
    </w:p>
    <w:p w14:paraId="2A2890FC">
      <w:pPr>
        <w:spacing w:line="351" w:lineRule="auto"/>
        <w:rPr>
          <w:rFonts w:ascii="Arial"/>
          <w:sz w:val="21"/>
        </w:rPr>
      </w:pPr>
    </w:p>
    <w:p w14:paraId="179FC494">
      <w:pPr>
        <w:spacing w:line="351" w:lineRule="auto"/>
        <w:rPr>
          <w:rFonts w:ascii="Arial"/>
          <w:sz w:val="21"/>
        </w:rPr>
      </w:pPr>
    </w:p>
    <w:p w14:paraId="0F196803">
      <w:pPr>
        <w:pStyle w:val="2"/>
        <w:spacing w:before="104" w:line="330" w:lineRule="auto"/>
        <w:ind w:right="221"/>
        <w:jc w:val="both"/>
      </w:pPr>
      <w:r>
        <w:rPr>
          <w:spacing w:val="-4"/>
        </w:rPr>
        <w:t>软件购置和其他技术咨询与服务费，不包含土建和厂房投资)的</w:t>
      </w:r>
      <w:r>
        <w:rPr>
          <w:spacing w:val="2"/>
        </w:rPr>
        <w:t xml:space="preserve"> </w:t>
      </w:r>
      <w:r>
        <w:rPr>
          <w:spacing w:val="7"/>
        </w:rPr>
        <w:t>投入规模(不少于100万元),按照实际贷款利率(若实际贷款利</w:t>
      </w:r>
      <w:r>
        <w:rPr>
          <w:spacing w:val="13"/>
        </w:rPr>
        <w:t xml:space="preserve"> </w:t>
      </w:r>
      <w:r>
        <w:rPr>
          <w:spacing w:val="-8"/>
        </w:rPr>
        <w:t>率高于银行同期贷款市场报价利率(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LPR),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 </w:t>
      </w:r>
      <w:r>
        <w:rPr>
          <w:spacing w:val="-8"/>
        </w:rPr>
        <w:t>以银行同期</w:t>
      </w:r>
      <w:r>
        <w:rPr>
          <w:rFonts w:ascii="Times New Roman" w:hAnsi="Times New Roman" w:eastAsia="Times New Roman" w:cs="Times New Roman"/>
          <w:spacing w:val="-8"/>
        </w:rPr>
        <w:t>LPR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8"/>
        </w:rPr>
        <w:t>标准</w:t>
      </w:r>
      <w:r>
        <w:t xml:space="preserve"> </w:t>
      </w:r>
      <w:r>
        <w:rPr>
          <w:spacing w:val="2"/>
        </w:rPr>
        <w:t>执行贴息),给予100%贴息。单个企业每年贴息原则上最高不超</w:t>
      </w:r>
      <w:r>
        <w:rPr>
          <w:spacing w:val="4"/>
        </w:rPr>
        <w:t xml:space="preserve"> </w:t>
      </w:r>
      <w:r>
        <w:rPr>
          <w:spacing w:val="-14"/>
        </w:rPr>
        <w:t>过500万元，贴息期不超过两年。贴息采用“先付后贴”。对因逾</w:t>
      </w:r>
      <w:r>
        <w:t xml:space="preserve"> </w:t>
      </w:r>
      <w:r>
        <w:rPr>
          <w:spacing w:val="-9"/>
        </w:rPr>
        <w:t>期归还银行贷款等原因产生的逾期贷款利息、加息、罚息等，不</w:t>
      </w:r>
      <w:r>
        <w:t xml:space="preserve"> </w:t>
      </w:r>
      <w:r>
        <w:rPr>
          <w:spacing w:val="-19"/>
        </w:rPr>
        <w:t>予贴息。</w:t>
      </w:r>
    </w:p>
    <w:p w14:paraId="056DA703">
      <w:pPr>
        <w:pStyle w:val="2"/>
        <w:spacing w:before="20" w:line="306" w:lineRule="auto"/>
        <w:ind w:right="186" w:firstLine="769"/>
        <w:rPr>
          <w:sz w:val="33"/>
          <w:szCs w:val="33"/>
        </w:rPr>
      </w:pPr>
      <w:r>
        <w:rPr>
          <w:spacing w:val="-5"/>
          <w:sz w:val="33"/>
          <w:szCs w:val="33"/>
        </w:rPr>
        <w:t>(二)担保费补助。对使用1年期及以上担保贷款实施“智</w:t>
      </w:r>
      <w:r>
        <w:rPr>
          <w:spacing w:val="1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改数转”项目的企业，根据担保贷款中用于项目软硬件(包括企</w:t>
      </w:r>
      <w:r>
        <w:rPr>
          <w:spacing w:val="18"/>
          <w:sz w:val="33"/>
          <w:szCs w:val="33"/>
        </w:rPr>
        <w:t xml:space="preserve"> </w:t>
      </w:r>
      <w:r>
        <w:rPr>
          <w:spacing w:val="-19"/>
          <w:sz w:val="33"/>
          <w:szCs w:val="33"/>
        </w:rPr>
        <w:t>业设备购置、软件购置和其他技术咨询与服务费，不包含土建和</w:t>
      </w:r>
      <w:r>
        <w:rPr>
          <w:spacing w:val="4"/>
          <w:sz w:val="33"/>
          <w:szCs w:val="33"/>
        </w:rPr>
        <w:t xml:space="preserve"> </w:t>
      </w:r>
      <w:r>
        <w:rPr>
          <w:spacing w:val="-6"/>
          <w:sz w:val="33"/>
          <w:szCs w:val="33"/>
        </w:rPr>
        <w:t>厂房投资)的投入规模(不少于100万元),按照实际担保费率(若</w:t>
      </w:r>
      <w:r>
        <w:rPr>
          <w:sz w:val="33"/>
          <w:szCs w:val="33"/>
        </w:rPr>
        <w:t xml:space="preserve"> </w:t>
      </w:r>
      <w:r>
        <w:rPr>
          <w:spacing w:val="-1"/>
          <w:sz w:val="33"/>
          <w:szCs w:val="33"/>
        </w:rPr>
        <w:t>实际担保费率高于1%,以1%费率标准执行补助),给予100%担保</w:t>
      </w:r>
      <w:r>
        <w:rPr>
          <w:spacing w:val="2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费补助。单个企业担保费补助原则上最高不超过100万元，最长</w:t>
      </w:r>
      <w:r>
        <w:rPr>
          <w:spacing w:val="10"/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补助期限为1年。</w:t>
      </w:r>
    </w:p>
    <w:p w14:paraId="760F4819">
      <w:pPr>
        <w:pStyle w:val="2"/>
        <w:spacing w:before="219" w:line="314" w:lineRule="auto"/>
        <w:ind w:right="178" w:firstLine="779"/>
      </w:pPr>
      <w:r>
        <w:rPr>
          <w:spacing w:val="-1"/>
        </w:rPr>
        <w:t>(三)事后奖补。对使用自有资金实施“智改数转</w:t>
      </w:r>
      <w:r>
        <w:rPr>
          <w:spacing w:val="-2"/>
        </w:rPr>
        <w:t>”项目的</w:t>
      </w:r>
      <w:r>
        <w:t xml:space="preserve"> </w:t>
      </w:r>
      <w:r>
        <w:rPr>
          <w:spacing w:val="-2"/>
        </w:rPr>
        <w:t>企业，根据项目软硬件(包括企业设备购置、软件购置和其</w:t>
      </w:r>
      <w:r>
        <w:rPr>
          <w:spacing w:val="-3"/>
        </w:rPr>
        <w:t>他技</w:t>
      </w:r>
      <w:r>
        <w:t xml:space="preserve"> </w:t>
      </w:r>
      <w:r>
        <w:rPr>
          <w:spacing w:val="3"/>
        </w:rPr>
        <w:t>术咨询与服务费，不包含土建和厂房投资)的投入规模(不少于</w:t>
      </w:r>
      <w:r>
        <w:rPr>
          <w:spacing w:val="1"/>
        </w:rPr>
        <w:t xml:space="preserve"> </w:t>
      </w:r>
      <w:r>
        <w:rPr>
          <w:spacing w:val="5"/>
        </w:rPr>
        <w:t>100万元),按照当年一年期贷款市场报价利</w:t>
      </w:r>
      <w:r>
        <w:rPr>
          <w:spacing w:val="4"/>
        </w:rPr>
        <w:t>率(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LPR</w:t>
      </w:r>
      <w:r>
        <w:rPr>
          <w:rFonts w:ascii="Times New Roman" w:hAnsi="Times New Roman" w:eastAsia="Times New Roman" w:cs="Times New Roman"/>
          <w:spacing w:val="4"/>
        </w:rPr>
        <w:t>)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4"/>
        </w:rPr>
        <w:t>平均水平</w:t>
      </w:r>
      <w:r>
        <w:t xml:space="preserve"> </w:t>
      </w:r>
      <w:r>
        <w:rPr>
          <w:spacing w:val="2"/>
        </w:rPr>
        <w:t>给予2倍资金支持。单个项目最高补助原则上最高不超过200万</w:t>
      </w:r>
      <w:r>
        <w:rPr>
          <w:spacing w:val="3"/>
        </w:rPr>
        <w:t xml:space="preserve"> </w:t>
      </w:r>
      <w:r>
        <w:rPr>
          <w:spacing w:val="-18"/>
        </w:rPr>
        <w:t>元。</w:t>
      </w:r>
    </w:p>
    <w:p w14:paraId="4E6701C1">
      <w:pPr>
        <w:pStyle w:val="2"/>
        <w:spacing w:before="206" w:line="328" w:lineRule="auto"/>
        <w:ind w:firstLine="670"/>
      </w:pPr>
      <w:r>
        <w:rPr>
          <w:spacing w:val="3"/>
        </w:rPr>
        <w:t>第五条对经省级认定的示范工厂(车间),根据《行动方案》</w:t>
      </w:r>
      <w:r>
        <w:rPr>
          <w:spacing w:val="17"/>
        </w:rPr>
        <w:t xml:space="preserve"> </w:t>
      </w:r>
      <w:r>
        <w:rPr>
          <w:spacing w:val="8"/>
        </w:rPr>
        <w:t>发布以来，企业用于工厂(车间)建设的项目软硬件(</w:t>
      </w:r>
      <w:r>
        <w:rPr>
          <w:spacing w:val="7"/>
        </w:rPr>
        <w:t>包括企业</w:t>
      </w:r>
    </w:p>
    <w:p w14:paraId="5F470F05">
      <w:pPr>
        <w:spacing w:line="328" w:lineRule="auto"/>
        <w:sectPr>
          <w:footerReference r:id="rId8" w:type="default"/>
          <w:pgSz w:w="11910" w:h="16840"/>
          <w:pgMar w:top="1431" w:right="1440" w:bottom="1846" w:left="1539" w:header="0" w:footer="1534" w:gutter="0"/>
          <w:cols w:space="720" w:num="1"/>
        </w:sectPr>
      </w:pPr>
    </w:p>
    <w:p w14:paraId="45D5C801">
      <w:pPr>
        <w:pStyle w:val="2"/>
        <w:spacing w:before="149" w:line="325" w:lineRule="auto"/>
        <w:ind w:right="29"/>
        <w:jc w:val="both"/>
      </w:pPr>
      <w:r>
        <w:rPr>
          <w:spacing w:val="2"/>
        </w:rPr>
        <w:t>房投资)的投入规模，按照10%标准给予事后奖补，数字化车间</w:t>
      </w:r>
      <w:r>
        <w:rPr>
          <w:spacing w:val="14"/>
        </w:rPr>
        <w:t xml:space="preserve"> </w:t>
      </w:r>
      <w:r>
        <w:rPr>
          <w:spacing w:val="7"/>
        </w:rPr>
        <w:t>(生产线)补助原则上最高不超过300万元，智能工厂补助原则</w:t>
      </w:r>
      <w:r>
        <w:rPr>
          <w:spacing w:val="15"/>
        </w:rPr>
        <w:t xml:space="preserve"> </w:t>
      </w:r>
      <w:r>
        <w:rPr>
          <w:spacing w:val="2"/>
        </w:rPr>
        <w:t>上最高不超过1000万元，未来工厂补助原则上最高不</w:t>
      </w:r>
      <w:r>
        <w:rPr>
          <w:spacing w:val="1"/>
        </w:rPr>
        <w:t>超过2000</w:t>
      </w:r>
      <w:r>
        <w:t xml:space="preserve"> </w:t>
      </w:r>
      <w:r>
        <w:rPr>
          <w:spacing w:val="-7"/>
        </w:rPr>
        <w:t>万元。已获得“智改数转”项目补助的项目，在示范工厂(车间)</w:t>
      </w:r>
      <w:r>
        <w:rPr>
          <w:spacing w:val="12"/>
        </w:rPr>
        <w:t xml:space="preserve"> </w:t>
      </w:r>
      <w:r>
        <w:rPr>
          <w:spacing w:val="-14"/>
        </w:rPr>
        <w:t>补助资金中予以扣除。</w:t>
      </w:r>
    </w:p>
    <w:p w14:paraId="04C9AD08">
      <w:pPr>
        <w:pStyle w:val="2"/>
        <w:spacing w:before="75" w:line="289" w:lineRule="auto"/>
        <w:ind w:right="92" w:firstLine="630"/>
      </w:pPr>
      <w:r>
        <w:rPr>
          <w:spacing w:val="-10"/>
        </w:rPr>
        <w:t>第六条重点支持国家级先进制造业集群龙头企业实施“智改</w:t>
      </w:r>
      <w:r>
        <w:rPr>
          <w:spacing w:val="8"/>
        </w:rPr>
        <w:t xml:space="preserve"> </w:t>
      </w:r>
      <w:r>
        <w:rPr>
          <w:spacing w:val="-14"/>
        </w:rPr>
        <w:t>数转”,在申报前述第四条、第五条项目时，不</w:t>
      </w:r>
      <w:r>
        <w:rPr>
          <w:spacing w:val="-15"/>
        </w:rPr>
        <w:t>受类别、项目数量</w:t>
      </w:r>
      <w:r>
        <w:t xml:space="preserve"> </w:t>
      </w:r>
      <w:r>
        <w:rPr>
          <w:spacing w:val="-15"/>
        </w:rPr>
        <w:t>和上限额度限制。</w:t>
      </w:r>
    </w:p>
    <w:p w14:paraId="4E6E0AA0">
      <w:pPr>
        <w:pStyle w:val="2"/>
        <w:spacing w:before="203" w:line="285" w:lineRule="auto"/>
        <w:ind w:right="79" w:firstLine="640"/>
        <w:rPr>
          <w:sz w:val="33"/>
          <w:szCs w:val="33"/>
        </w:rPr>
      </w:pPr>
      <w:r>
        <w:rPr>
          <w:spacing w:val="-19"/>
          <w:sz w:val="33"/>
          <w:szCs w:val="33"/>
        </w:rPr>
        <w:t>第七条对面向工业企业开展存贮、算力、安</w:t>
      </w:r>
      <w:r>
        <w:rPr>
          <w:spacing w:val="-20"/>
          <w:sz w:val="33"/>
          <w:szCs w:val="33"/>
        </w:rPr>
        <w:t>全、软件等上云</w:t>
      </w:r>
      <w:r>
        <w:rPr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服务的云平台企业，在政策期内，按照分档递进的原则实施分类</w:t>
      </w:r>
      <w:r>
        <w:rPr>
          <w:spacing w:val="2"/>
          <w:sz w:val="33"/>
          <w:szCs w:val="33"/>
        </w:rPr>
        <w:t xml:space="preserve"> </w:t>
      </w:r>
      <w:r>
        <w:rPr>
          <w:spacing w:val="-25"/>
          <w:sz w:val="33"/>
          <w:szCs w:val="33"/>
        </w:rPr>
        <w:t>奖补政策。</w:t>
      </w:r>
    </w:p>
    <w:p w14:paraId="452395EA">
      <w:pPr>
        <w:pStyle w:val="2"/>
        <w:spacing w:before="205" w:line="318" w:lineRule="auto"/>
        <w:ind w:right="74" w:firstLine="760"/>
      </w:pPr>
      <w:r>
        <w:rPr>
          <w:spacing w:val="5"/>
        </w:rPr>
        <w:t>(一)达标奖补和激励奖补。根据服务工业</w:t>
      </w:r>
      <w:r>
        <w:rPr>
          <w:spacing w:val="4"/>
        </w:rPr>
        <w:t>企业户数(每户</w:t>
      </w:r>
      <w:r>
        <w:t xml:space="preserve"> </w:t>
      </w:r>
      <w:r>
        <w:rPr>
          <w:spacing w:val="7"/>
        </w:rPr>
        <w:t>收取服务费5000元以上，下同)设置三个档位，达到10户、30</w:t>
      </w:r>
      <w:r>
        <w:t xml:space="preserve"> </w:t>
      </w:r>
      <w:r>
        <w:rPr>
          <w:spacing w:val="-3"/>
        </w:rPr>
        <w:t>户和50户及以上的，分别按照对应收取服</w:t>
      </w:r>
      <w:r>
        <w:rPr>
          <w:spacing w:val="-4"/>
        </w:rPr>
        <w:t>务费的10%、15%和20%</w:t>
      </w:r>
      <w:r>
        <w:t xml:space="preserve"> </w:t>
      </w:r>
      <w:r>
        <w:rPr>
          <w:spacing w:val="-10"/>
        </w:rPr>
        <w:t>给予云平台企业一次性分档达标奖补，每个云平台企业补助原则</w:t>
      </w:r>
      <w:r>
        <w:rPr>
          <w:spacing w:val="17"/>
        </w:rPr>
        <w:t xml:space="preserve"> </w:t>
      </w:r>
      <w:r>
        <w:rPr>
          <w:spacing w:val="3"/>
        </w:rPr>
        <w:t>上最高分别不超过30万元、120万元和26</w:t>
      </w:r>
      <w:r>
        <w:rPr>
          <w:spacing w:val="2"/>
        </w:rPr>
        <w:t>0万元。对服务企业户</w:t>
      </w:r>
      <w:r>
        <w:t xml:space="preserve"> </w:t>
      </w:r>
      <w:r>
        <w:rPr>
          <w:spacing w:val="-4"/>
        </w:rPr>
        <w:t>数超过5户但未达到档位标准的，按照对应收取服务费的5%给予</w:t>
      </w:r>
      <w:r>
        <w:rPr>
          <w:spacing w:val="12"/>
        </w:rPr>
        <w:t xml:space="preserve"> </w:t>
      </w:r>
      <w:r>
        <w:rPr>
          <w:spacing w:val="1"/>
        </w:rPr>
        <w:t>一次性激励奖补，每个云平台企业补助原则上最高不超过10万</w:t>
      </w:r>
      <w:r>
        <w:rPr>
          <w:spacing w:val="13"/>
        </w:rPr>
        <w:t xml:space="preserve"> </w:t>
      </w:r>
      <w:r>
        <w:rPr>
          <w:spacing w:val="-18"/>
        </w:rPr>
        <w:t>元。</w:t>
      </w:r>
    </w:p>
    <w:p w14:paraId="2DCD3763">
      <w:pPr>
        <w:pStyle w:val="2"/>
        <w:spacing w:before="206" w:line="281" w:lineRule="auto"/>
        <w:ind w:firstLine="750"/>
      </w:pPr>
      <w:r>
        <w:rPr>
          <w:spacing w:val="-1"/>
        </w:rPr>
        <w:t>(二)增量奖补。对已获得达标奖补，并在以后年度</w:t>
      </w:r>
      <w:r>
        <w:rPr>
          <w:spacing w:val="-2"/>
        </w:rPr>
        <w:t>服务企</w:t>
      </w:r>
      <w:r>
        <w:t xml:space="preserve"> </w:t>
      </w:r>
      <w:r>
        <w:rPr>
          <w:spacing w:val="-17"/>
        </w:rPr>
        <w:t>业户数有增加的云平台企业，根据当年新增企业对应收取服务费，</w:t>
      </w:r>
    </w:p>
    <w:p w14:paraId="29EAB69D">
      <w:pPr>
        <w:spacing w:line="281" w:lineRule="auto"/>
        <w:sectPr>
          <w:headerReference r:id="rId9" w:type="default"/>
          <w:footerReference r:id="rId10" w:type="default"/>
          <w:pgSz w:w="11910" w:h="16840"/>
          <w:pgMar w:top="2709" w:right="1590" w:bottom="1856" w:left="1519" w:header="2216" w:footer="1544" w:gutter="0"/>
          <w:cols w:space="720" w:num="1"/>
        </w:sectPr>
      </w:pPr>
    </w:p>
    <w:p w14:paraId="5441D625">
      <w:pPr>
        <w:spacing w:line="248" w:lineRule="auto"/>
        <w:rPr>
          <w:rFonts w:ascii="Arial"/>
          <w:sz w:val="21"/>
        </w:rPr>
      </w:pPr>
    </w:p>
    <w:p w14:paraId="7E89099C">
      <w:pPr>
        <w:spacing w:line="249" w:lineRule="auto"/>
        <w:rPr>
          <w:rFonts w:ascii="Arial"/>
          <w:sz w:val="21"/>
        </w:rPr>
      </w:pPr>
    </w:p>
    <w:p w14:paraId="7B06EC4F">
      <w:pPr>
        <w:spacing w:line="249" w:lineRule="auto"/>
        <w:rPr>
          <w:rFonts w:ascii="Arial"/>
          <w:sz w:val="21"/>
        </w:rPr>
      </w:pPr>
    </w:p>
    <w:p w14:paraId="7FA20D95">
      <w:pPr>
        <w:spacing w:line="249" w:lineRule="auto"/>
        <w:rPr>
          <w:rFonts w:ascii="Arial"/>
          <w:sz w:val="21"/>
        </w:rPr>
      </w:pPr>
    </w:p>
    <w:p w14:paraId="1DC92BE0">
      <w:pPr>
        <w:spacing w:line="249" w:lineRule="auto"/>
        <w:rPr>
          <w:rFonts w:ascii="Arial"/>
          <w:sz w:val="21"/>
        </w:rPr>
      </w:pPr>
    </w:p>
    <w:p w14:paraId="0DCD22B7">
      <w:pPr>
        <w:spacing w:line="249" w:lineRule="auto"/>
        <w:rPr>
          <w:rFonts w:ascii="Arial"/>
          <w:sz w:val="21"/>
        </w:rPr>
      </w:pPr>
    </w:p>
    <w:p w14:paraId="71F88273">
      <w:pPr>
        <w:spacing w:line="249" w:lineRule="auto"/>
        <w:rPr>
          <w:rFonts w:ascii="Arial"/>
          <w:sz w:val="21"/>
        </w:rPr>
      </w:pPr>
    </w:p>
    <w:p w14:paraId="6657EF5B">
      <w:pPr>
        <w:pStyle w:val="2"/>
        <w:spacing w:before="104" w:line="332" w:lineRule="auto"/>
        <w:ind w:right="55"/>
      </w:pPr>
      <w:r>
        <w:rPr>
          <w:spacing w:val="-4"/>
        </w:rPr>
        <w:t>给予10%的增量奖补，每个云平台企业补助原则上最高不</w:t>
      </w:r>
      <w:r>
        <w:rPr>
          <w:spacing w:val="-5"/>
        </w:rPr>
        <w:t>超过50</w:t>
      </w:r>
      <w:r>
        <w:t xml:space="preserve"> </w:t>
      </w:r>
      <w:r>
        <w:rPr>
          <w:spacing w:val="-21"/>
        </w:rPr>
        <w:t>万元。</w:t>
      </w:r>
    </w:p>
    <w:p w14:paraId="0486B13C">
      <w:pPr>
        <w:pStyle w:val="2"/>
        <w:spacing w:before="1" w:line="331" w:lineRule="auto"/>
        <w:ind w:right="40" w:firstLine="749"/>
        <w:jc w:val="both"/>
      </w:pPr>
      <w:r>
        <w:rPr>
          <w:spacing w:val="-3"/>
        </w:rPr>
        <w:t>(三)晋档奖补。对已获得达标奖补和激励奖补的云平台企</w:t>
      </w:r>
      <w:r>
        <w:rPr>
          <w:spacing w:val="9"/>
        </w:rPr>
        <w:t xml:space="preserve"> </w:t>
      </w:r>
      <w:r>
        <w:rPr>
          <w:spacing w:val="-10"/>
        </w:rPr>
        <w:t>业，累计新增户数在以后年度达标或达到更高档位标准的，根据</w:t>
      </w:r>
      <w:r>
        <w:t xml:space="preserve"> </w:t>
      </w:r>
      <w:r>
        <w:rPr>
          <w:spacing w:val="-10"/>
        </w:rPr>
        <w:t>对应档位标准，按照扣减已获得奖补额度后的差额部分给予晋档</w:t>
      </w:r>
      <w:r>
        <w:rPr>
          <w:spacing w:val="10"/>
        </w:rPr>
        <w:t xml:space="preserve"> </w:t>
      </w:r>
      <w:r>
        <w:rPr>
          <w:spacing w:val="-12"/>
        </w:rPr>
        <w:t>奖补。同一年度不可重复享受增量奖补和晋</w:t>
      </w:r>
      <w:r>
        <w:rPr>
          <w:spacing w:val="-13"/>
        </w:rPr>
        <w:t>档奖补。</w:t>
      </w:r>
    </w:p>
    <w:p w14:paraId="4A905ECF">
      <w:pPr>
        <w:pStyle w:val="2"/>
        <w:spacing w:line="330" w:lineRule="auto"/>
        <w:ind w:right="11" w:firstLine="650"/>
        <w:jc w:val="both"/>
      </w:pPr>
      <w:r>
        <w:rPr>
          <w:spacing w:val="-10"/>
        </w:rPr>
        <w:t>第八条对为工业企业免费进行数字化转型诊断服务，并出具</w:t>
      </w:r>
      <w:r>
        <w:rPr>
          <w:spacing w:val="9"/>
        </w:rPr>
        <w:t xml:space="preserve"> </w:t>
      </w:r>
      <w:r>
        <w:rPr>
          <w:spacing w:val="-10"/>
        </w:rPr>
        <w:t>合格诊断报告的智能制造系统解决方案供应商，根据所服务工业</w:t>
      </w:r>
      <w:r>
        <w:t xml:space="preserve"> </w:t>
      </w:r>
      <w:r>
        <w:rPr>
          <w:spacing w:val="12"/>
        </w:rPr>
        <w:t>企业的数量(不少于10户),以服务单家企业最高不超过2万元</w:t>
      </w:r>
      <w:r>
        <w:rPr>
          <w:spacing w:val="18"/>
        </w:rPr>
        <w:t xml:space="preserve"> </w:t>
      </w:r>
      <w:r>
        <w:rPr>
          <w:spacing w:val="-10"/>
        </w:rPr>
        <w:t>的标准给予补助；对为企业实施“智改数转”项目提供整体解决</w:t>
      </w:r>
      <w:r>
        <w:t xml:space="preserve"> </w:t>
      </w:r>
      <w:r>
        <w:rPr>
          <w:spacing w:val="-10"/>
        </w:rPr>
        <w:t>方案的智能制造系统解决方案供应商，按照服务项目中拥有自主</w:t>
      </w:r>
      <w:r>
        <w:rPr>
          <w:spacing w:val="5"/>
        </w:rPr>
        <w:t xml:space="preserve"> </w:t>
      </w:r>
      <w:r>
        <w:rPr>
          <w:spacing w:val="7"/>
        </w:rPr>
        <w:t>知识产权的设备和技术服务总额的10%,给予</w:t>
      </w:r>
      <w:r>
        <w:rPr>
          <w:spacing w:val="6"/>
        </w:rPr>
        <w:t>最高不超过100万</w:t>
      </w:r>
      <w:r>
        <w:t xml:space="preserve"> </w:t>
      </w:r>
      <w:r>
        <w:rPr>
          <w:spacing w:val="-17"/>
        </w:rPr>
        <w:t>元的一次性补助。</w:t>
      </w:r>
    </w:p>
    <w:p w14:paraId="382662A9">
      <w:pPr>
        <w:spacing w:line="475" w:lineRule="auto"/>
        <w:rPr>
          <w:rFonts w:ascii="Arial"/>
          <w:sz w:val="21"/>
        </w:rPr>
      </w:pPr>
    </w:p>
    <w:p w14:paraId="3E58834A">
      <w:pPr>
        <w:spacing w:before="104" w:line="222" w:lineRule="auto"/>
        <w:ind w:left="32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第三章支持条件</w:t>
      </w:r>
    </w:p>
    <w:p w14:paraId="266E48E8">
      <w:pPr>
        <w:pStyle w:val="2"/>
        <w:spacing w:before="201" w:line="220" w:lineRule="auto"/>
        <w:ind w:left="650"/>
      </w:pPr>
      <w:r>
        <w:rPr>
          <w:spacing w:val="-8"/>
        </w:rPr>
        <w:t>第九条申请补助的企业应满足以下基本条件：</w:t>
      </w:r>
    </w:p>
    <w:p w14:paraId="16D7C9AF">
      <w:pPr>
        <w:pStyle w:val="2"/>
        <w:spacing w:before="185" w:line="338" w:lineRule="auto"/>
        <w:ind w:firstLine="799"/>
      </w:pPr>
      <w:r>
        <w:rPr>
          <w:spacing w:val="-3"/>
        </w:rPr>
        <w:t>(一)关于对申请“智改数转”项目贷款贴息、担保费补助</w:t>
      </w:r>
      <w:r>
        <w:rPr>
          <w:spacing w:val="9"/>
        </w:rPr>
        <w:t xml:space="preserve"> </w:t>
      </w:r>
      <w:r>
        <w:rPr>
          <w:spacing w:val="-13"/>
        </w:rPr>
        <w:t>或事后奖补的企业要求。</w:t>
      </w:r>
    </w:p>
    <w:p w14:paraId="612DCC0A">
      <w:pPr>
        <w:pStyle w:val="2"/>
        <w:spacing w:line="219" w:lineRule="auto"/>
        <w:ind w:left="650"/>
      </w:pPr>
      <w:r>
        <w:rPr>
          <w:rFonts w:ascii="Times New Roman" w:hAnsi="Times New Roman" w:eastAsia="Times New Roman" w:cs="Times New Roman"/>
          <w:spacing w:val="-11"/>
        </w:rPr>
        <w:t xml:space="preserve">1. </w:t>
      </w:r>
      <w:r>
        <w:rPr>
          <w:spacing w:val="-11"/>
        </w:rPr>
        <w:t>在吉林省行政区域内依法登记注册的规上工业企业。</w:t>
      </w:r>
    </w:p>
    <w:p w14:paraId="600C327B">
      <w:pPr>
        <w:pStyle w:val="2"/>
        <w:spacing w:before="182" w:line="221" w:lineRule="auto"/>
        <w:ind w:left="650"/>
      </w:pPr>
      <w:r>
        <w:rPr>
          <w:rFonts w:ascii="Times New Roman" w:hAnsi="Times New Roman" w:eastAsia="Times New Roman" w:cs="Times New Roman"/>
          <w:spacing w:val="-10"/>
        </w:rPr>
        <w:t xml:space="preserve">2. </w:t>
      </w:r>
      <w:r>
        <w:rPr>
          <w:spacing w:val="-10"/>
        </w:rPr>
        <w:t>企业不属于失信被执行人，且未被列入经营异常名录。</w:t>
      </w:r>
    </w:p>
    <w:p w14:paraId="51F44393">
      <w:pPr>
        <w:pStyle w:val="2"/>
        <w:spacing w:before="183" w:line="219" w:lineRule="auto"/>
        <w:ind w:left="650"/>
      </w:pPr>
      <w:r>
        <w:rPr>
          <w:rFonts w:ascii="Times New Roman" w:hAnsi="Times New Roman" w:eastAsia="Times New Roman" w:cs="Times New Roman"/>
          <w:spacing w:val="-10"/>
        </w:rPr>
        <w:t>3.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10"/>
        </w:rPr>
        <w:t>企业实施的“智改数转”项目需经行政审批部门备案。</w:t>
      </w:r>
    </w:p>
    <w:p w14:paraId="17CDA81E">
      <w:pPr>
        <w:pStyle w:val="2"/>
        <w:spacing w:before="198" w:line="222" w:lineRule="auto"/>
        <w:ind w:right="6"/>
        <w:jc w:val="right"/>
      </w:pPr>
      <w:r>
        <w:rPr>
          <w:rFonts w:ascii="Times New Roman" w:hAnsi="Times New Roman" w:eastAsia="Times New Roman" w:cs="Times New Roman"/>
          <w:spacing w:val="-6"/>
        </w:rPr>
        <w:t>4.</w:t>
      </w:r>
      <w:r>
        <w:rPr>
          <w:spacing w:val="-6"/>
        </w:rPr>
        <w:t>申报贷款贴息的企业，需获得金融机构发放的企业</w:t>
      </w:r>
      <w:r>
        <w:rPr>
          <w:spacing w:val="-7"/>
        </w:rPr>
        <w:t>“智改</w:t>
      </w:r>
    </w:p>
    <w:p w14:paraId="22ADF317">
      <w:pPr>
        <w:spacing w:line="222" w:lineRule="auto"/>
        <w:sectPr>
          <w:headerReference r:id="rId11" w:type="default"/>
          <w:footerReference r:id="rId12" w:type="default"/>
          <w:pgSz w:w="11910" w:h="16840"/>
          <w:pgMar w:top="400" w:right="1577" w:bottom="1894" w:left="1599" w:header="0" w:footer="1570" w:gutter="0"/>
          <w:cols w:space="720" w:num="1"/>
        </w:sectPr>
      </w:pPr>
    </w:p>
    <w:p w14:paraId="46D39297">
      <w:pPr>
        <w:spacing w:line="271" w:lineRule="auto"/>
        <w:rPr>
          <w:rFonts w:ascii="Arial"/>
          <w:sz w:val="21"/>
        </w:rPr>
      </w:pPr>
    </w:p>
    <w:p w14:paraId="1BF7E1DE">
      <w:pPr>
        <w:spacing w:line="271" w:lineRule="auto"/>
        <w:rPr>
          <w:rFonts w:ascii="Arial"/>
          <w:sz w:val="21"/>
        </w:rPr>
      </w:pPr>
    </w:p>
    <w:p w14:paraId="12F2337F">
      <w:pPr>
        <w:spacing w:line="271" w:lineRule="auto"/>
        <w:rPr>
          <w:rFonts w:ascii="Arial"/>
          <w:sz w:val="21"/>
        </w:rPr>
      </w:pPr>
    </w:p>
    <w:p w14:paraId="53D68ECF">
      <w:pPr>
        <w:spacing w:line="272" w:lineRule="auto"/>
        <w:rPr>
          <w:rFonts w:ascii="Arial"/>
          <w:sz w:val="21"/>
        </w:rPr>
      </w:pPr>
    </w:p>
    <w:p w14:paraId="4B178745">
      <w:pPr>
        <w:spacing w:line="272" w:lineRule="auto"/>
        <w:rPr>
          <w:rFonts w:ascii="Arial"/>
          <w:sz w:val="21"/>
        </w:rPr>
      </w:pPr>
    </w:p>
    <w:p w14:paraId="48977E5D">
      <w:pPr>
        <w:spacing w:line="272" w:lineRule="auto"/>
        <w:rPr>
          <w:rFonts w:ascii="Arial"/>
          <w:sz w:val="21"/>
        </w:rPr>
      </w:pPr>
    </w:p>
    <w:p w14:paraId="68669C68">
      <w:pPr>
        <w:pStyle w:val="2"/>
        <w:spacing w:before="104" w:line="219" w:lineRule="auto"/>
      </w:pPr>
      <w:r>
        <w:rPr>
          <w:spacing w:val="-16"/>
        </w:rPr>
        <w:t>数转”贷款。</w:t>
      </w:r>
    </w:p>
    <w:p w14:paraId="404F9D52">
      <w:pPr>
        <w:pStyle w:val="2"/>
        <w:spacing w:before="214" w:line="270" w:lineRule="auto"/>
        <w:ind w:right="139" w:firstLine="620"/>
      </w:pPr>
      <w:r>
        <w:rPr>
          <w:rFonts w:ascii="Times New Roman" w:hAnsi="Times New Roman" w:eastAsia="Times New Roman" w:cs="Times New Roman"/>
          <w:spacing w:val="-8"/>
        </w:rPr>
        <w:t>5.</w:t>
      </w:r>
      <w:r>
        <w:rPr>
          <w:spacing w:val="-8"/>
        </w:rPr>
        <w:t>申报担保费补助的企业，需要获得由融资担保</w:t>
      </w:r>
      <w:r>
        <w:rPr>
          <w:spacing w:val="-9"/>
        </w:rPr>
        <w:t>机构担保、</w:t>
      </w:r>
      <w:r>
        <w:t xml:space="preserve"> </w:t>
      </w:r>
      <w:r>
        <w:rPr>
          <w:spacing w:val="-12"/>
        </w:rPr>
        <w:t>金融机构发放的企业“智改数转”贷款。</w:t>
      </w:r>
    </w:p>
    <w:p w14:paraId="0C019A69">
      <w:pPr>
        <w:pStyle w:val="2"/>
        <w:spacing w:before="233" w:line="266" w:lineRule="auto"/>
        <w:ind w:right="84" w:firstLine="620"/>
      </w:pPr>
      <w:r>
        <w:rPr>
          <w:rFonts w:ascii="Times New Roman" w:hAnsi="Times New Roman" w:eastAsia="Times New Roman" w:cs="Times New Roman"/>
          <w:spacing w:val="-6"/>
        </w:rPr>
        <w:t>6.</w:t>
      </w:r>
      <w:r>
        <w:rPr>
          <w:spacing w:val="-6"/>
        </w:rPr>
        <w:t>申报事后奖补的企业，不得重复申报贷款贴息或</w:t>
      </w:r>
      <w:r>
        <w:rPr>
          <w:spacing w:val="-7"/>
        </w:rPr>
        <w:t>担保费补</w:t>
      </w:r>
      <w:r>
        <w:t xml:space="preserve"> </w:t>
      </w:r>
      <w:r>
        <w:rPr>
          <w:spacing w:val="-16"/>
        </w:rPr>
        <w:t>助。</w:t>
      </w:r>
    </w:p>
    <w:p w14:paraId="4E4B5738">
      <w:pPr>
        <w:pStyle w:val="2"/>
        <w:spacing w:before="227" w:line="271" w:lineRule="auto"/>
        <w:ind w:right="87" w:firstLine="620"/>
      </w:pPr>
      <w:r>
        <w:rPr>
          <w:spacing w:val="-12"/>
        </w:rPr>
        <w:t>7.</w:t>
      </w:r>
      <w:r>
        <w:rPr>
          <w:spacing w:val="-84"/>
        </w:rPr>
        <w:t xml:space="preserve"> </w:t>
      </w:r>
      <w:r>
        <w:rPr>
          <w:spacing w:val="-12"/>
        </w:rPr>
        <w:t>申报单位已获得事后奖补的同一项目，之后年度不得重复</w:t>
      </w:r>
      <w:r>
        <w:t xml:space="preserve"> </w:t>
      </w:r>
      <w:r>
        <w:rPr>
          <w:spacing w:val="-25"/>
        </w:rPr>
        <w:t>申报。</w:t>
      </w:r>
    </w:p>
    <w:p w14:paraId="7BC1C18C">
      <w:pPr>
        <w:pStyle w:val="2"/>
        <w:spacing w:before="192" w:line="222" w:lineRule="auto"/>
        <w:ind w:left="620"/>
      </w:pPr>
      <w:r>
        <w:rPr>
          <w:rFonts w:ascii="Times New Roman" w:hAnsi="Times New Roman" w:eastAsia="Times New Roman" w:cs="Times New Roman"/>
          <w:spacing w:val="-7"/>
        </w:rPr>
        <w:t>8.</w:t>
      </w:r>
      <w:r>
        <w:rPr>
          <w:spacing w:val="-7"/>
        </w:rPr>
        <w:t>申报通知明确的其他条件。</w:t>
      </w:r>
    </w:p>
    <w:p w14:paraId="1791D612">
      <w:pPr>
        <w:pStyle w:val="2"/>
        <w:spacing w:before="203" w:line="219" w:lineRule="auto"/>
        <w:ind w:left="770"/>
      </w:pPr>
      <w:r>
        <w:rPr>
          <w:spacing w:val="10"/>
        </w:rPr>
        <w:t>(二)关于对申请示范工厂(车间)补助的企业要求。</w:t>
      </w:r>
    </w:p>
    <w:p w14:paraId="32967367">
      <w:pPr>
        <w:pStyle w:val="2"/>
        <w:spacing w:before="180" w:line="219" w:lineRule="auto"/>
        <w:ind w:left="620"/>
      </w:pPr>
      <w:r>
        <w:rPr>
          <w:rFonts w:ascii="Times New Roman" w:hAnsi="Times New Roman" w:eastAsia="Times New Roman" w:cs="Times New Roman"/>
          <w:spacing w:val="-8"/>
        </w:rPr>
        <w:t>1.</w:t>
      </w:r>
      <w:r>
        <w:rPr>
          <w:spacing w:val="-8"/>
        </w:rPr>
        <w:t>在吉林省行政区域内依法登记注册的规上工</w:t>
      </w:r>
      <w:r>
        <w:rPr>
          <w:spacing w:val="-9"/>
        </w:rPr>
        <w:t>业企业。</w:t>
      </w:r>
    </w:p>
    <w:p w14:paraId="0EA684DF">
      <w:pPr>
        <w:pStyle w:val="2"/>
        <w:spacing w:before="222" w:line="221" w:lineRule="auto"/>
        <w:ind w:left="620"/>
      </w:pPr>
      <w:r>
        <w:rPr>
          <w:rFonts w:ascii="Times New Roman" w:hAnsi="Times New Roman" w:eastAsia="Times New Roman" w:cs="Times New Roman"/>
          <w:spacing w:val="-9"/>
        </w:rPr>
        <w:t>2.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9"/>
        </w:rPr>
        <w:t>企业不属于失信被执行人，且未被列入经营异常名录。</w:t>
      </w:r>
    </w:p>
    <w:p w14:paraId="399B7DC6">
      <w:pPr>
        <w:pStyle w:val="2"/>
        <w:spacing w:before="199" w:line="275" w:lineRule="auto"/>
        <w:ind w:firstLine="620"/>
      </w:pPr>
      <w:r>
        <w:rPr>
          <w:rFonts w:ascii="Times New Roman" w:hAnsi="Times New Roman" w:eastAsia="Times New Roman" w:cs="Times New Roman"/>
          <w:spacing w:val="-14"/>
        </w:rPr>
        <w:t>3.</w:t>
      </w:r>
      <w:r>
        <w:rPr>
          <w:spacing w:val="-14"/>
        </w:rPr>
        <w:t>企业财务管理和会计核算制度健全，管</w:t>
      </w:r>
      <w:r>
        <w:rPr>
          <w:spacing w:val="-15"/>
        </w:rPr>
        <w:t>理规范、核算准确，</w:t>
      </w:r>
      <w:r>
        <w:t xml:space="preserve"> </w:t>
      </w:r>
      <w:r>
        <w:rPr>
          <w:spacing w:val="-11"/>
        </w:rPr>
        <w:t>能按规定向有关部门报送财务会计报表，无违法违规记录。</w:t>
      </w:r>
    </w:p>
    <w:p w14:paraId="3B4E52BD">
      <w:pPr>
        <w:pStyle w:val="2"/>
        <w:spacing w:before="194" w:line="303" w:lineRule="auto"/>
        <w:ind w:right="52" w:firstLine="620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1"/>
        </w:rPr>
        <w:t>企业已建有经过省级认定的示范工厂(车间),且自《行动</w:t>
      </w:r>
      <w:r>
        <w:t xml:space="preserve"> </w:t>
      </w:r>
      <w:r>
        <w:rPr>
          <w:spacing w:val="7"/>
        </w:rPr>
        <w:t>方案》发布以来，企业用于工厂(车间)建设的项目软硬件(包</w:t>
      </w:r>
      <w:r>
        <w:rPr>
          <w:spacing w:val="17"/>
        </w:rPr>
        <w:t xml:space="preserve"> </w:t>
      </w:r>
      <w:r>
        <w:rPr>
          <w:spacing w:val="-10"/>
        </w:rPr>
        <w:t>括企业设备购置、软件购置和其他技术咨询与服务费，不包含土</w:t>
      </w:r>
      <w:r>
        <w:rPr>
          <w:spacing w:val="9"/>
        </w:rPr>
        <w:t xml:space="preserve"> </w:t>
      </w:r>
      <w:r>
        <w:rPr>
          <w:spacing w:val="4"/>
        </w:rPr>
        <w:t>建和厂房投资)的投入规模不少于100万元。</w:t>
      </w:r>
    </w:p>
    <w:p w14:paraId="3D43791D">
      <w:pPr>
        <w:pStyle w:val="2"/>
        <w:spacing w:before="191" w:line="222" w:lineRule="auto"/>
        <w:ind w:left="620"/>
      </w:pPr>
      <w:r>
        <w:rPr>
          <w:rFonts w:ascii="Times New Roman" w:hAnsi="Times New Roman" w:eastAsia="Times New Roman" w:cs="Times New Roman"/>
          <w:spacing w:val="-7"/>
        </w:rPr>
        <w:t>5.</w:t>
      </w:r>
      <w:r>
        <w:rPr>
          <w:spacing w:val="-7"/>
        </w:rPr>
        <w:t>申报通知明确的其他条件。</w:t>
      </w:r>
    </w:p>
    <w:p w14:paraId="4F310B9B">
      <w:pPr>
        <w:pStyle w:val="2"/>
        <w:spacing w:before="193" w:line="220" w:lineRule="auto"/>
        <w:ind w:left="760"/>
      </w:pPr>
      <w:r>
        <w:rPr>
          <w:spacing w:val="-2"/>
        </w:rPr>
        <w:t>(三)关于对申请云平台补助的云平台企业要求。</w:t>
      </w:r>
    </w:p>
    <w:p w14:paraId="7DDF886A">
      <w:pPr>
        <w:pStyle w:val="2"/>
        <w:spacing w:before="208" w:line="219" w:lineRule="auto"/>
        <w:ind w:left="620"/>
      </w:pPr>
      <w:r>
        <w:rPr>
          <w:rFonts w:ascii="Times New Roman" w:hAnsi="Times New Roman" w:eastAsia="Times New Roman" w:cs="Times New Roman"/>
          <w:spacing w:val="-10"/>
        </w:rPr>
        <w:t xml:space="preserve">1. </w:t>
      </w:r>
      <w:r>
        <w:rPr>
          <w:spacing w:val="-10"/>
        </w:rPr>
        <w:t>在吉林省行政区域内依法登记注册的云平台企业。</w:t>
      </w:r>
    </w:p>
    <w:p w14:paraId="2E2F7467">
      <w:pPr>
        <w:pStyle w:val="2"/>
        <w:spacing w:before="202" w:line="221" w:lineRule="auto"/>
        <w:ind w:left="620"/>
      </w:pPr>
      <w:r>
        <w:rPr>
          <w:rFonts w:ascii="Times New Roman" w:hAnsi="Times New Roman" w:eastAsia="Times New Roman" w:cs="Times New Roman"/>
          <w:spacing w:val="-9"/>
        </w:rPr>
        <w:t>2.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9"/>
        </w:rPr>
        <w:t>企业不属于失信被执行人，且未被列入经营异常名录。</w:t>
      </w:r>
    </w:p>
    <w:p w14:paraId="3D47F18C">
      <w:pPr>
        <w:pStyle w:val="2"/>
        <w:spacing w:before="190" w:line="222" w:lineRule="auto"/>
        <w:ind w:left="620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每年至少开展2次线上或线下的企业上云培训活动。</w:t>
      </w:r>
    </w:p>
    <w:p w14:paraId="7DA13BAE">
      <w:pPr>
        <w:spacing w:line="222" w:lineRule="auto"/>
        <w:sectPr>
          <w:footerReference r:id="rId13" w:type="default"/>
          <w:pgSz w:w="11910" w:h="16840"/>
          <w:pgMar w:top="400" w:right="1629" w:bottom="1973" w:left="1499" w:header="0" w:footer="1636" w:gutter="0"/>
          <w:cols w:space="720" w:num="1"/>
        </w:sectPr>
      </w:pPr>
    </w:p>
    <w:p w14:paraId="5F472B56">
      <w:pPr>
        <w:spacing w:line="256" w:lineRule="auto"/>
        <w:rPr>
          <w:rFonts w:ascii="Arial"/>
          <w:sz w:val="21"/>
        </w:rPr>
      </w:pPr>
    </w:p>
    <w:p w14:paraId="1C49B8D1">
      <w:pPr>
        <w:spacing w:line="256" w:lineRule="auto"/>
        <w:rPr>
          <w:rFonts w:ascii="Arial"/>
          <w:sz w:val="21"/>
        </w:rPr>
      </w:pPr>
    </w:p>
    <w:p w14:paraId="3E3C8927">
      <w:pPr>
        <w:spacing w:line="256" w:lineRule="auto"/>
        <w:rPr>
          <w:rFonts w:ascii="Arial"/>
          <w:sz w:val="21"/>
        </w:rPr>
      </w:pPr>
    </w:p>
    <w:p w14:paraId="381C86FA">
      <w:pPr>
        <w:spacing w:line="256" w:lineRule="auto"/>
        <w:rPr>
          <w:rFonts w:ascii="Arial"/>
          <w:sz w:val="21"/>
        </w:rPr>
      </w:pPr>
    </w:p>
    <w:p w14:paraId="30970128">
      <w:pPr>
        <w:spacing w:line="256" w:lineRule="auto"/>
        <w:rPr>
          <w:rFonts w:ascii="Arial"/>
          <w:sz w:val="21"/>
        </w:rPr>
      </w:pPr>
    </w:p>
    <w:p w14:paraId="3CA1CA8F">
      <w:pPr>
        <w:spacing w:line="256" w:lineRule="auto"/>
        <w:rPr>
          <w:rFonts w:ascii="Arial"/>
          <w:sz w:val="21"/>
        </w:rPr>
      </w:pPr>
    </w:p>
    <w:p w14:paraId="694F6A68">
      <w:pPr>
        <w:spacing w:line="257" w:lineRule="auto"/>
        <w:rPr>
          <w:rFonts w:ascii="Arial"/>
          <w:sz w:val="21"/>
        </w:rPr>
      </w:pPr>
    </w:p>
    <w:p w14:paraId="107FD578">
      <w:pPr>
        <w:pStyle w:val="2"/>
        <w:spacing w:before="104" w:line="222" w:lineRule="auto"/>
        <w:ind w:left="620"/>
      </w:pPr>
      <w:r>
        <w:rPr>
          <w:rFonts w:ascii="Times New Roman" w:hAnsi="Times New Roman" w:eastAsia="Times New Roman" w:cs="Times New Roman"/>
          <w:spacing w:val="-6"/>
        </w:rPr>
        <w:t>4.</w:t>
      </w:r>
      <w:r>
        <w:rPr>
          <w:spacing w:val="-6"/>
        </w:rPr>
        <w:t>申报通知明确的其他条件。</w:t>
      </w:r>
    </w:p>
    <w:p w14:paraId="0B74B1E4">
      <w:pPr>
        <w:pStyle w:val="2"/>
        <w:spacing w:before="184" w:line="334" w:lineRule="auto"/>
        <w:ind w:right="251" w:firstLine="749"/>
      </w:pPr>
      <w:r>
        <w:rPr>
          <w:spacing w:val="-2"/>
        </w:rPr>
        <w:t>(四)关于对申请智能制造系统解决方案供应商补助的供应</w:t>
      </w:r>
      <w:r>
        <w:rPr>
          <w:spacing w:val="14"/>
        </w:rPr>
        <w:t xml:space="preserve"> </w:t>
      </w:r>
      <w:r>
        <w:rPr>
          <w:spacing w:val="-19"/>
        </w:rPr>
        <w:t>商要求。</w:t>
      </w:r>
    </w:p>
    <w:p w14:paraId="4D3B0FA3">
      <w:pPr>
        <w:pStyle w:val="2"/>
        <w:spacing w:before="3" w:line="274" w:lineRule="auto"/>
        <w:ind w:right="284" w:firstLine="620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在吉林省行政区域内依法登记注册的智能制造系统解决</w:t>
      </w:r>
      <w:r>
        <w:rPr>
          <w:spacing w:val="6"/>
        </w:rPr>
        <w:t xml:space="preserve"> </w:t>
      </w:r>
      <w:r>
        <w:rPr>
          <w:spacing w:val="-17"/>
        </w:rPr>
        <w:t>方案供应商。</w:t>
      </w:r>
    </w:p>
    <w:p w14:paraId="6BFD9251">
      <w:pPr>
        <w:pStyle w:val="2"/>
        <w:spacing w:before="200" w:line="276" w:lineRule="auto"/>
        <w:ind w:right="259" w:firstLine="620"/>
      </w:pPr>
      <w:r>
        <w:rPr>
          <w:rFonts w:ascii="Times New Roman" w:hAnsi="Times New Roman" w:eastAsia="Times New Roman" w:cs="Times New Roman"/>
          <w:spacing w:val="-8"/>
        </w:rPr>
        <w:t>2.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8"/>
        </w:rPr>
        <w:t>企业有固定的办公场所，不属于失信被执行人，且未被列</w:t>
      </w:r>
      <w:r>
        <w:t xml:space="preserve"> </w:t>
      </w:r>
      <w:r>
        <w:rPr>
          <w:spacing w:val="-16"/>
        </w:rPr>
        <w:t>入经营异常名录。</w:t>
      </w:r>
    </w:p>
    <w:p w14:paraId="0D3B9586">
      <w:pPr>
        <w:pStyle w:val="2"/>
        <w:spacing w:before="195" w:line="296" w:lineRule="auto"/>
        <w:ind w:right="254" w:firstLine="620"/>
      </w:pPr>
      <w:r>
        <w:rPr>
          <w:rFonts w:ascii="Times New Roman" w:hAnsi="Times New Roman" w:eastAsia="Times New Roman" w:cs="Times New Roman"/>
          <w:spacing w:val="-8"/>
        </w:rPr>
        <w:t>3.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8"/>
        </w:rPr>
        <w:t>从事智能制造软硬件装备和系统的设计、生产</w:t>
      </w:r>
      <w:r>
        <w:rPr>
          <w:spacing w:val="-9"/>
        </w:rPr>
        <w:t>、安装、调</w:t>
      </w:r>
      <w:r>
        <w:t xml:space="preserve"> </w:t>
      </w:r>
      <w:r>
        <w:rPr>
          <w:spacing w:val="-9"/>
        </w:rPr>
        <w:t>试业务，为工业企业数字化、网络化、智能化转型升级提供产品</w:t>
      </w:r>
      <w:r>
        <w:rPr>
          <w:spacing w:val="2"/>
        </w:rPr>
        <w:t xml:space="preserve"> </w:t>
      </w:r>
      <w:r>
        <w:rPr>
          <w:spacing w:val="-11"/>
        </w:rPr>
        <w:t>或集成服务，主要产品符合国家产业政策和行业政策导向。</w:t>
      </w:r>
    </w:p>
    <w:p w14:paraId="78F3D0EC">
      <w:pPr>
        <w:pStyle w:val="2"/>
        <w:spacing w:before="186" w:line="293" w:lineRule="auto"/>
        <w:ind w:right="280" w:firstLine="620"/>
      </w:pPr>
      <w:r>
        <w:rPr>
          <w:rFonts w:ascii="Times New Roman" w:hAnsi="Times New Roman" w:eastAsia="Times New Roman" w:cs="Times New Roman"/>
          <w:spacing w:val="-9"/>
        </w:rPr>
        <w:t>4.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9"/>
        </w:rPr>
        <w:t>拥有研发设计、集成实施和运维服务专业团队，已经建立</w:t>
      </w:r>
      <w:r>
        <w:t xml:space="preserve"> </w:t>
      </w:r>
      <w:r>
        <w:rPr>
          <w:spacing w:val="-10"/>
        </w:rPr>
        <w:t>完善的质量管理、环境管理、信息安全管理和售后服务管理</w:t>
      </w:r>
      <w:r>
        <w:rPr>
          <w:spacing w:val="-11"/>
        </w:rPr>
        <w:t>体系</w:t>
      </w:r>
      <w:r>
        <w:t xml:space="preserve"> </w:t>
      </w:r>
      <w:r>
        <w:rPr>
          <w:spacing w:val="-19"/>
        </w:rPr>
        <w:t>等。</w:t>
      </w:r>
    </w:p>
    <w:p w14:paraId="29683AA2">
      <w:pPr>
        <w:pStyle w:val="2"/>
        <w:spacing w:before="198" w:line="222" w:lineRule="auto"/>
        <w:ind w:left="620"/>
      </w:pPr>
      <w:r>
        <w:rPr>
          <w:rFonts w:ascii="Times New Roman" w:hAnsi="Times New Roman" w:eastAsia="Times New Roman" w:cs="Times New Roman"/>
          <w:spacing w:val="-8"/>
        </w:rPr>
        <w:t>5.</w:t>
      </w:r>
      <w:r>
        <w:rPr>
          <w:spacing w:val="-8"/>
        </w:rPr>
        <w:t>申报通知明确的其他条件。</w:t>
      </w:r>
    </w:p>
    <w:p w14:paraId="58516E2E">
      <w:pPr>
        <w:spacing w:line="337" w:lineRule="auto"/>
        <w:rPr>
          <w:rFonts w:ascii="Arial"/>
          <w:sz w:val="21"/>
        </w:rPr>
      </w:pPr>
    </w:p>
    <w:p w14:paraId="4C2F4138">
      <w:pPr>
        <w:spacing w:line="338" w:lineRule="auto"/>
        <w:rPr>
          <w:rFonts w:ascii="Arial"/>
          <w:sz w:val="21"/>
        </w:rPr>
      </w:pPr>
    </w:p>
    <w:p w14:paraId="4EA7F9AF">
      <w:pPr>
        <w:spacing w:before="98" w:line="222" w:lineRule="auto"/>
        <w:ind w:left="24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2"/>
          <w:sz w:val="30"/>
          <w:szCs w:val="30"/>
        </w:rPr>
        <w:t>第四章申报程序及资金拨付</w:t>
      </w:r>
    </w:p>
    <w:p w14:paraId="3F01F7C1">
      <w:pPr>
        <w:pStyle w:val="2"/>
        <w:spacing w:before="226" w:line="290" w:lineRule="auto"/>
        <w:ind w:right="266" w:firstLine="620"/>
      </w:pPr>
      <w:r>
        <w:rPr>
          <w:spacing w:val="-10"/>
        </w:rPr>
        <w:t>第十条印发通知。省工业和信息化厅负责会同省财政厅以印</w:t>
      </w:r>
      <w:r>
        <w:rPr>
          <w:spacing w:val="17"/>
        </w:rPr>
        <w:t xml:space="preserve"> </w:t>
      </w:r>
      <w:r>
        <w:rPr>
          <w:spacing w:val="-10"/>
        </w:rPr>
        <w:t>发正式通知的方式开展资金申报工作，企业按正式申报通知要求</w:t>
      </w:r>
      <w:r>
        <w:rPr>
          <w:spacing w:val="3"/>
        </w:rPr>
        <w:t xml:space="preserve"> </w:t>
      </w:r>
      <w:r>
        <w:rPr>
          <w:spacing w:val="-9"/>
        </w:rPr>
        <w:t>准备申报材料并报送所在地工信和财政部门</w:t>
      </w:r>
    </w:p>
    <w:p w14:paraId="13876203">
      <w:pPr>
        <w:pStyle w:val="2"/>
        <w:spacing w:before="189" w:line="297" w:lineRule="auto"/>
        <w:ind w:firstLine="620"/>
      </w:pPr>
      <w:r>
        <w:rPr>
          <w:spacing w:val="-11"/>
        </w:rPr>
        <w:t>第十一条组织申报。各地工信部门负责属地企业“智改数转”</w:t>
      </w:r>
      <w:r>
        <w:rPr>
          <w:spacing w:val="1"/>
        </w:rPr>
        <w:t xml:space="preserve"> 项目、示范工厂(车间)等征集，指导企业、云平台、供应商按</w:t>
      </w:r>
      <w:r>
        <w:rPr>
          <w:spacing w:val="8"/>
        </w:rPr>
        <w:t xml:space="preserve">  </w:t>
      </w:r>
      <w:r>
        <w:rPr>
          <w:spacing w:val="-13"/>
        </w:rPr>
        <w:t>照要求准备各类别申报材料。</w:t>
      </w:r>
    </w:p>
    <w:p w14:paraId="16F0CF70">
      <w:pPr>
        <w:spacing w:line="297" w:lineRule="auto"/>
        <w:sectPr>
          <w:footerReference r:id="rId14" w:type="default"/>
          <w:pgSz w:w="11910" w:h="16840"/>
          <w:pgMar w:top="400" w:right="1334" w:bottom="1813" w:left="1609" w:header="0" w:footer="1476" w:gutter="0"/>
          <w:cols w:space="720" w:num="1"/>
        </w:sectPr>
      </w:pPr>
    </w:p>
    <w:p w14:paraId="3BB9CF65">
      <w:pPr>
        <w:spacing w:line="241" w:lineRule="auto"/>
        <w:rPr>
          <w:rFonts w:ascii="Arial"/>
          <w:sz w:val="21"/>
        </w:rPr>
      </w:pPr>
    </w:p>
    <w:p w14:paraId="7C8DE2E5">
      <w:pPr>
        <w:spacing w:line="242" w:lineRule="auto"/>
        <w:rPr>
          <w:rFonts w:ascii="Arial"/>
          <w:sz w:val="21"/>
        </w:rPr>
      </w:pPr>
    </w:p>
    <w:p w14:paraId="2DD6953B">
      <w:pPr>
        <w:spacing w:line="242" w:lineRule="auto"/>
        <w:rPr>
          <w:rFonts w:ascii="Arial"/>
          <w:sz w:val="21"/>
        </w:rPr>
      </w:pPr>
    </w:p>
    <w:p w14:paraId="2B59534C">
      <w:pPr>
        <w:spacing w:line="242" w:lineRule="auto"/>
        <w:rPr>
          <w:rFonts w:ascii="Arial"/>
          <w:sz w:val="21"/>
        </w:rPr>
      </w:pPr>
    </w:p>
    <w:p w14:paraId="318DF847">
      <w:pPr>
        <w:spacing w:line="242" w:lineRule="auto"/>
        <w:rPr>
          <w:rFonts w:ascii="Arial"/>
          <w:sz w:val="21"/>
        </w:rPr>
      </w:pPr>
    </w:p>
    <w:p w14:paraId="30D553EA">
      <w:pPr>
        <w:spacing w:line="242" w:lineRule="auto"/>
        <w:rPr>
          <w:rFonts w:ascii="Arial"/>
          <w:sz w:val="21"/>
        </w:rPr>
      </w:pPr>
    </w:p>
    <w:p w14:paraId="271DA857">
      <w:pPr>
        <w:spacing w:line="242" w:lineRule="auto"/>
        <w:rPr>
          <w:rFonts w:ascii="Arial"/>
          <w:sz w:val="21"/>
        </w:rPr>
      </w:pPr>
    </w:p>
    <w:p w14:paraId="1AC98FDC">
      <w:pPr>
        <w:pStyle w:val="2"/>
        <w:spacing w:before="104" w:line="292" w:lineRule="auto"/>
        <w:ind w:right="120" w:firstLine="650"/>
      </w:pPr>
      <w:r>
        <w:rPr>
          <w:spacing w:val="-13"/>
        </w:rPr>
        <w:t>第十二条材料初审。各地工信部门会同财政部门对申报材料</w:t>
      </w:r>
      <w:r>
        <w:rPr>
          <w:spacing w:val="16"/>
        </w:rPr>
        <w:t xml:space="preserve"> </w:t>
      </w:r>
      <w:r>
        <w:rPr>
          <w:spacing w:val="-13"/>
        </w:rPr>
        <w:t>进行认真初审，汇总符合条件的项目，联合行文上报省工业和信</w:t>
      </w:r>
      <w:r>
        <w:rPr>
          <w:spacing w:val="13"/>
        </w:rPr>
        <w:t xml:space="preserve"> </w:t>
      </w:r>
      <w:r>
        <w:rPr>
          <w:spacing w:val="-17"/>
        </w:rPr>
        <w:t>息化厅和省财政厅。</w:t>
      </w:r>
    </w:p>
    <w:p w14:paraId="13451CD2">
      <w:pPr>
        <w:pStyle w:val="2"/>
        <w:spacing w:before="189" w:line="303" w:lineRule="auto"/>
        <w:ind w:right="120" w:firstLine="650"/>
      </w:pPr>
      <w:r>
        <w:rPr>
          <w:spacing w:val="-13"/>
        </w:rPr>
        <w:t>第十三条材料复审。省工业和信息化厅负责对各地上报材料</w:t>
      </w:r>
      <w:r>
        <w:rPr>
          <w:spacing w:val="16"/>
        </w:rPr>
        <w:t xml:space="preserve"> </w:t>
      </w:r>
      <w:r>
        <w:rPr>
          <w:spacing w:val="-12"/>
        </w:rPr>
        <w:t>进行复审，经复审符合申报要求的，组织开展评审，评</w:t>
      </w:r>
      <w:r>
        <w:rPr>
          <w:spacing w:val="-13"/>
        </w:rPr>
        <w:t>审通过成</w:t>
      </w:r>
      <w:r>
        <w:t xml:space="preserve"> </w:t>
      </w:r>
      <w:r>
        <w:rPr>
          <w:spacing w:val="-12"/>
        </w:rPr>
        <w:t>立专家审核组或委托第三方机构等方式进行。根据评审结果确定</w:t>
      </w:r>
      <w:r>
        <w:rPr>
          <w:spacing w:val="6"/>
        </w:rPr>
        <w:t xml:space="preserve"> </w:t>
      </w:r>
      <w:r>
        <w:rPr>
          <w:spacing w:val="-13"/>
        </w:rPr>
        <w:t>拟支持对象和资金额度，会同省财政厅拟定资金分配方案。</w:t>
      </w:r>
    </w:p>
    <w:p w14:paraId="21A6AA53">
      <w:pPr>
        <w:pStyle w:val="2"/>
        <w:spacing w:before="168" w:line="294" w:lineRule="auto"/>
        <w:ind w:right="127" w:firstLine="650"/>
      </w:pPr>
      <w:r>
        <w:rPr>
          <w:spacing w:val="-13"/>
        </w:rPr>
        <w:t>第十四条网上公示。拟定资金分配方案后，在省工业和信息</w:t>
      </w:r>
      <w:r>
        <w:rPr>
          <w:spacing w:val="9"/>
        </w:rPr>
        <w:t xml:space="preserve"> </w:t>
      </w:r>
      <w:r>
        <w:rPr>
          <w:spacing w:val="-12"/>
        </w:rPr>
        <w:t>化厅官方网站对拟支持项目向社会公示。公示期间有异</w:t>
      </w:r>
      <w:r>
        <w:rPr>
          <w:spacing w:val="-13"/>
        </w:rPr>
        <w:t>议的，省</w:t>
      </w:r>
      <w:r>
        <w:t xml:space="preserve"> </w:t>
      </w:r>
      <w:r>
        <w:rPr>
          <w:spacing w:val="-14"/>
        </w:rPr>
        <w:t>工业和信息化厅及时核实处理。</w:t>
      </w:r>
    </w:p>
    <w:p w14:paraId="7351385F">
      <w:pPr>
        <w:pStyle w:val="2"/>
        <w:spacing w:before="194" w:line="292" w:lineRule="auto"/>
        <w:ind w:right="129" w:firstLine="650"/>
      </w:pPr>
      <w:r>
        <w:rPr>
          <w:spacing w:val="-13"/>
        </w:rPr>
        <w:t>第十五条审议报送。公示期满无异议后，省工业和信息化厅</w:t>
      </w:r>
      <w:r>
        <w:rPr>
          <w:spacing w:val="7"/>
        </w:rPr>
        <w:t xml:space="preserve"> </w:t>
      </w:r>
      <w:r>
        <w:rPr>
          <w:spacing w:val="-12"/>
        </w:rPr>
        <w:t>将资金分配方案提交厅党组会审议，通过后，会同省财政厅履行</w:t>
      </w:r>
      <w:r>
        <w:rPr>
          <w:spacing w:val="6"/>
        </w:rPr>
        <w:t xml:space="preserve"> </w:t>
      </w:r>
      <w:r>
        <w:rPr>
          <w:spacing w:val="-15"/>
        </w:rPr>
        <w:t>报送省政府审批程序。</w:t>
      </w:r>
    </w:p>
    <w:p w14:paraId="16939274">
      <w:pPr>
        <w:pStyle w:val="2"/>
        <w:spacing w:before="203" w:line="293" w:lineRule="auto"/>
        <w:ind w:right="134" w:firstLine="650"/>
      </w:pPr>
      <w:r>
        <w:rPr>
          <w:spacing w:val="-13"/>
        </w:rPr>
        <w:t>第十六条资金拨付。经省政府批准同意后，省财政厅按照程</w:t>
      </w:r>
      <w:r>
        <w:t xml:space="preserve"> </w:t>
      </w:r>
      <w:r>
        <w:rPr>
          <w:spacing w:val="-12"/>
        </w:rPr>
        <w:t>序下达资金，同步分解下达省工业和信息化厅确认的绩效考核指</w:t>
      </w:r>
      <w:r>
        <w:rPr>
          <w:spacing w:val="10"/>
        </w:rPr>
        <w:t xml:space="preserve"> </w:t>
      </w:r>
      <w:r>
        <w:rPr>
          <w:spacing w:val="-12"/>
        </w:rPr>
        <w:t>标。各地财政部门应按规定时限和要求及时拨付资金。</w:t>
      </w:r>
    </w:p>
    <w:p w14:paraId="7EA241CA">
      <w:pPr>
        <w:spacing w:line="324" w:lineRule="auto"/>
        <w:rPr>
          <w:rFonts w:ascii="Arial"/>
          <w:sz w:val="21"/>
        </w:rPr>
      </w:pPr>
    </w:p>
    <w:p w14:paraId="1596AB99">
      <w:pPr>
        <w:spacing w:line="324" w:lineRule="auto"/>
        <w:rPr>
          <w:rFonts w:ascii="Arial"/>
          <w:sz w:val="21"/>
        </w:rPr>
      </w:pPr>
    </w:p>
    <w:p w14:paraId="44EFD118">
      <w:pPr>
        <w:spacing w:before="104" w:line="221" w:lineRule="auto"/>
        <w:ind w:left="24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第五章监督管理与绩效考核</w:t>
      </w:r>
    </w:p>
    <w:p w14:paraId="08476E60">
      <w:pPr>
        <w:pStyle w:val="2"/>
        <w:spacing w:before="191" w:line="324" w:lineRule="auto"/>
        <w:ind w:firstLine="650"/>
        <w:jc w:val="both"/>
      </w:pPr>
      <w:r>
        <w:rPr>
          <w:spacing w:val="-20"/>
        </w:rPr>
        <w:t>第十七条企业实施的“智改数转”项目获得财政贴息补助后，</w:t>
      </w:r>
      <w:r>
        <w:rPr>
          <w:spacing w:val="18"/>
        </w:rPr>
        <w:t xml:space="preserve"> </w:t>
      </w:r>
      <w:r>
        <w:rPr>
          <w:spacing w:val="-11"/>
        </w:rPr>
        <w:t>企业不得将获得贴息补助部分贷款提前还款并解除贷款合同</w:t>
      </w:r>
      <w:r>
        <w:rPr>
          <w:spacing w:val="-12"/>
        </w:rPr>
        <w:t>，金</w:t>
      </w:r>
      <w:r>
        <w:t xml:space="preserve"> </w:t>
      </w:r>
      <w:r>
        <w:rPr>
          <w:spacing w:val="-12"/>
        </w:rPr>
        <w:t>融机构不得同意企业提前还款并解除贷款合同。若出现违反上述</w:t>
      </w:r>
      <w:r>
        <w:rPr>
          <w:spacing w:val="6"/>
        </w:rPr>
        <w:t xml:space="preserve"> </w:t>
      </w:r>
      <w:r>
        <w:rPr>
          <w:spacing w:val="-15"/>
        </w:rPr>
        <w:t>规定行为，视同套取财政补贴资金处理。</w:t>
      </w:r>
    </w:p>
    <w:p w14:paraId="2AA7553F">
      <w:pPr>
        <w:spacing w:line="324" w:lineRule="auto"/>
        <w:sectPr>
          <w:footerReference r:id="rId15" w:type="default"/>
          <w:pgSz w:w="11910" w:h="16840"/>
          <w:pgMar w:top="400" w:right="1570" w:bottom="2036" w:left="1569" w:header="0" w:footer="1724" w:gutter="0"/>
          <w:cols w:space="720" w:num="1"/>
        </w:sectPr>
      </w:pPr>
    </w:p>
    <w:p w14:paraId="606EBF00">
      <w:pPr>
        <w:spacing w:line="249" w:lineRule="auto"/>
        <w:rPr>
          <w:rFonts w:ascii="Arial"/>
          <w:sz w:val="21"/>
        </w:rPr>
      </w:pPr>
    </w:p>
    <w:p w14:paraId="165BAFF6">
      <w:pPr>
        <w:spacing w:line="249" w:lineRule="auto"/>
        <w:rPr>
          <w:rFonts w:ascii="Arial"/>
          <w:sz w:val="21"/>
        </w:rPr>
      </w:pPr>
    </w:p>
    <w:p w14:paraId="493AF85B">
      <w:pPr>
        <w:spacing w:line="249" w:lineRule="auto"/>
        <w:rPr>
          <w:rFonts w:ascii="Arial"/>
          <w:sz w:val="21"/>
        </w:rPr>
      </w:pPr>
    </w:p>
    <w:p w14:paraId="63115E77">
      <w:pPr>
        <w:spacing w:line="249" w:lineRule="auto"/>
        <w:rPr>
          <w:rFonts w:ascii="Arial"/>
          <w:sz w:val="21"/>
        </w:rPr>
      </w:pPr>
    </w:p>
    <w:p w14:paraId="6CF7CA64">
      <w:pPr>
        <w:spacing w:line="249" w:lineRule="auto"/>
        <w:rPr>
          <w:rFonts w:ascii="Arial"/>
          <w:sz w:val="21"/>
        </w:rPr>
      </w:pPr>
    </w:p>
    <w:p w14:paraId="3E03FCDD">
      <w:pPr>
        <w:spacing w:line="249" w:lineRule="auto"/>
        <w:rPr>
          <w:rFonts w:ascii="Arial"/>
          <w:sz w:val="21"/>
        </w:rPr>
      </w:pPr>
    </w:p>
    <w:p w14:paraId="54E8F240">
      <w:pPr>
        <w:spacing w:line="249" w:lineRule="auto"/>
        <w:rPr>
          <w:rFonts w:ascii="Arial"/>
          <w:sz w:val="21"/>
        </w:rPr>
      </w:pPr>
    </w:p>
    <w:p w14:paraId="35445514">
      <w:pPr>
        <w:pStyle w:val="2"/>
        <w:spacing w:before="114" w:line="290" w:lineRule="auto"/>
        <w:ind w:right="118" w:firstLine="620"/>
      </w:pPr>
      <w:r>
        <w:rPr>
          <w:spacing w:val="-41"/>
          <w:sz w:val="35"/>
          <w:szCs w:val="35"/>
        </w:rPr>
        <w:t>第十八条申报单位应对其提交申报材料的真实性、准确性负</w:t>
      </w:r>
      <w:r>
        <w:rPr>
          <w:spacing w:val="16"/>
          <w:sz w:val="35"/>
          <w:szCs w:val="35"/>
        </w:rPr>
        <w:t xml:space="preserve"> </w:t>
      </w:r>
      <w:r>
        <w:rPr>
          <w:spacing w:val="-11"/>
        </w:rPr>
        <w:t>责并承担申报主体责任，自觉接受并积极配合省级主管部门及相</w:t>
      </w:r>
      <w:r>
        <w:rPr>
          <w:spacing w:val="10"/>
        </w:rPr>
        <w:t xml:space="preserve"> </w:t>
      </w:r>
      <w:r>
        <w:rPr>
          <w:spacing w:val="-15"/>
        </w:rPr>
        <w:t>关责任部门的监督管理。</w:t>
      </w:r>
    </w:p>
    <w:p w14:paraId="16174557">
      <w:pPr>
        <w:pStyle w:val="2"/>
        <w:spacing w:before="191" w:line="293" w:lineRule="auto"/>
        <w:ind w:right="96" w:firstLine="620"/>
      </w:pPr>
      <w:r>
        <w:rPr>
          <w:spacing w:val="3"/>
        </w:rPr>
        <w:t>第十九条智能制造系统解决方案供应商在不影响正</w:t>
      </w:r>
      <w:r>
        <w:rPr>
          <w:spacing w:val="2"/>
        </w:rPr>
        <w:t>常生产</w:t>
      </w:r>
      <w:r>
        <w:t xml:space="preserve"> </w:t>
      </w:r>
      <w:r>
        <w:rPr>
          <w:spacing w:val="-10"/>
        </w:rPr>
        <w:t>经营的情况下，应积极配合省、市工信部门开展相关工作，不断</w:t>
      </w:r>
      <w:r>
        <w:rPr>
          <w:spacing w:val="3"/>
        </w:rPr>
        <w:t xml:space="preserve"> </w:t>
      </w:r>
      <w:r>
        <w:rPr>
          <w:spacing w:val="-13"/>
        </w:rPr>
        <w:t>推广经验，扩大示范作用。</w:t>
      </w:r>
    </w:p>
    <w:p w14:paraId="5DC9777F">
      <w:pPr>
        <w:pStyle w:val="2"/>
        <w:spacing w:before="193" w:line="285" w:lineRule="auto"/>
        <w:ind w:right="105" w:firstLine="620"/>
        <w:rPr>
          <w:sz w:val="33"/>
          <w:szCs w:val="33"/>
        </w:rPr>
      </w:pPr>
      <w:r>
        <w:rPr>
          <w:spacing w:val="-20"/>
          <w:sz w:val="33"/>
          <w:szCs w:val="33"/>
        </w:rPr>
        <w:t>第二十条各地要完善和规范申报项目推荐程序，科学公正地</w:t>
      </w:r>
      <w:r>
        <w:rPr>
          <w:spacing w:val="3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组织本地区项目申报。主动接受相关部门对项目组织申报全过程</w:t>
      </w:r>
      <w:r>
        <w:rPr>
          <w:spacing w:val="1"/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的监督，确保项目推荐程序的公正性和操作过程规范化。</w:t>
      </w:r>
    </w:p>
    <w:p w14:paraId="3CDCA3C2">
      <w:pPr>
        <w:pStyle w:val="2"/>
        <w:spacing w:before="207" w:line="277" w:lineRule="auto"/>
        <w:ind w:right="107" w:firstLine="620"/>
      </w:pPr>
      <w:r>
        <w:rPr>
          <w:spacing w:val="2"/>
        </w:rPr>
        <w:t>第二十一条同一企业的同一项目已获得其他省级财政资金</w:t>
      </w:r>
      <w:r>
        <w:rPr>
          <w:spacing w:val="11"/>
        </w:rPr>
        <w:t xml:space="preserve"> </w:t>
      </w:r>
      <w:r>
        <w:rPr>
          <w:spacing w:val="-5"/>
        </w:rPr>
        <w:t>支持的，不得重复申请本政策资金(拼盘项目除外)。</w:t>
      </w:r>
    </w:p>
    <w:p w14:paraId="37B1614F">
      <w:pPr>
        <w:pStyle w:val="2"/>
        <w:spacing w:before="191" w:line="316" w:lineRule="auto"/>
        <w:ind w:firstLine="620"/>
      </w:pPr>
      <w:r>
        <w:rPr>
          <w:spacing w:val="2"/>
        </w:rPr>
        <w:t>第二十二条省工业和信息化厅负责设定绩效目标并细化分</w:t>
      </w:r>
      <w:r>
        <w:rPr>
          <w:spacing w:val="8"/>
        </w:rPr>
        <w:t xml:space="preserve"> </w:t>
      </w:r>
      <w:r>
        <w:rPr>
          <w:spacing w:val="-10"/>
        </w:rPr>
        <w:t>解项目绩效目标，指导各地工信部门开展绩效管理，开展整体绩</w:t>
      </w:r>
      <w:r>
        <w:rPr>
          <w:spacing w:val="9"/>
        </w:rPr>
        <w:t xml:space="preserve"> </w:t>
      </w:r>
      <w:r>
        <w:rPr>
          <w:spacing w:val="-9"/>
        </w:rPr>
        <w:t>效自评。省财政厅负责指导并审核省工业和信息化厅编制的绩效</w:t>
      </w:r>
      <w:r>
        <w:t xml:space="preserve"> </w:t>
      </w:r>
      <w:r>
        <w:rPr>
          <w:spacing w:val="-11"/>
        </w:rPr>
        <w:t>目标，会同省工业和信息化厅开展绩效评价。各地工信部门负责</w:t>
      </w:r>
      <w:r>
        <w:rPr>
          <w:spacing w:val="5"/>
        </w:rPr>
        <w:t xml:space="preserve"> </w:t>
      </w:r>
      <w:r>
        <w:rPr>
          <w:spacing w:val="-10"/>
        </w:rPr>
        <w:t>对照绩效目标做好绩效运行监控和绩效自评，确保绩效目标如期</w:t>
      </w:r>
      <w:r>
        <w:rPr>
          <w:spacing w:val="14"/>
        </w:rPr>
        <w:t xml:space="preserve"> </w:t>
      </w:r>
      <w:r>
        <w:rPr>
          <w:spacing w:val="-17"/>
        </w:rPr>
        <w:t>实现。各企业要按照项目建设内容专款专用，提高资金使用效益。</w:t>
      </w:r>
    </w:p>
    <w:p w14:paraId="1FC37777">
      <w:pPr>
        <w:pStyle w:val="2"/>
        <w:spacing w:before="163" w:line="308" w:lineRule="auto"/>
        <w:ind w:right="103" w:firstLine="620"/>
        <w:rPr>
          <w:sz w:val="35"/>
          <w:szCs w:val="35"/>
        </w:rPr>
      </w:pPr>
      <w:r>
        <w:rPr>
          <w:spacing w:val="-10"/>
        </w:rPr>
        <w:t>第二十三条对在绩效评价、监督检查等工作中，发现弄虚作</w:t>
      </w:r>
      <w:r>
        <w:rPr>
          <w:spacing w:val="5"/>
        </w:rPr>
        <w:t xml:space="preserve"> </w:t>
      </w:r>
      <w:r>
        <w:rPr>
          <w:spacing w:val="-10"/>
        </w:rPr>
        <w:t>假或采取不正当手段骗取补贴资金的主体，将依据有关法律、法</w:t>
      </w:r>
      <w:r>
        <w:t xml:space="preserve"> </w:t>
      </w:r>
      <w:r>
        <w:rPr>
          <w:spacing w:val="-10"/>
        </w:rPr>
        <w:t>规追究申报单位及相关人员责任，并不再列入今后省级各项政策</w:t>
      </w:r>
      <w:r>
        <w:rPr>
          <w:spacing w:val="1"/>
        </w:rPr>
        <w:t xml:space="preserve"> </w:t>
      </w:r>
      <w:r>
        <w:rPr>
          <w:spacing w:val="-10"/>
        </w:rPr>
        <w:t>支持范围。任何单位和个人不得以任何理由截留、挤占或挪用专</w:t>
      </w:r>
      <w:r>
        <w:rPr>
          <w:spacing w:val="3"/>
        </w:rPr>
        <w:t xml:space="preserve"> </w:t>
      </w:r>
      <w:r>
        <w:rPr>
          <w:spacing w:val="-37"/>
          <w:sz w:val="35"/>
          <w:szCs w:val="35"/>
        </w:rPr>
        <w:t>项资金。</w:t>
      </w:r>
    </w:p>
    <w:p w14:paraId="4C401BDF">
      <w:pPr>
        <w:spacing w:line="308" w:lineRule="auto"/>
        <w:rPr>
          <w:sz w:val="35"/>
          <w:szCs w:val="35"/>
        </w:rPr>
        <w:sectPr>
          <w:footerReference r:id="rId16" w:type="default"/>
          <w:pgSz w:w="11910" w:h="16840"/>
          <w:pgMar w:top="400" w:right="1510" w:bottom="1834" w:left="1609" w:header="0" w:footer="1508" w:gutter="0"/>
          <w:cols w:space="720" w:num="1"/>
        </w:sectPr>
      </w:pPr>
    </w:p>
    <w:p w14:paraId="6C39F31F">
      <w:pPr>
        <w:spacing w:line="254" w:lineRule="auto"/>
        <w:rPr>
          <w:rFonts w:ascii="Arial"/>
          <w:sz w:val="21"/>
        </w:rPr>
      </w:pPr>
    </w:p>
    <w:p w14:paraId="566AA453">
      <w:pPr>
        <w:spacing w:line="254" w:lineRule="auto"/>
        <w:rPr>
          <w:rFonts w:ascii="Arial"/>
          <w:sz w:val="21"/>
        </w:rPr>
      </w:pPr>
    </w:p>
    <w:p w14:paraId="64EEA424">
      <w:pPr>
        <w:spacing w:line="254" w:lineRule="auto"/>
        <w:rPr>
          <w:rFonts w:ascii="Arial"/>
          <w:sz w:val="21"/>
        </w:rPr>
      </w:pPr>
    </w:p>
    <w:p w14:paraId="006F9C26">
      <w:pPr>
        <w:spacing w:line="255" w:lineRule="auto"/>
        <w:rPr>
          <w:rFonts w:ascii="Arial"/>
          <w:sz w:val="21"/>
        </w:rPr>
      </w:pPr>
    </w:p>
    <w:p w14:paraId="423164D2">
      <w:pPr>
        <w:spacing w:line="255" w:lineRule="auto"/>
        <w:rPr>
          <w:rFonts w:ascii="Arial"/>
          <w:sz w:val="21"/>
        </w:rPr>
      </w:pPr>
    </w:p>
    <w:p w14:paraId="09FBF4EE">
      <w:pPr>
        <w:spacing w:line="255" w:lineRule="auto"/>
        <w:rPr>
          <w:rFonts w:ascii="Arial"/>
          <w:sz w:val="21"/>
        </w:rPr>
      </w:pPr>
    </w:p>
    <w:p w14:paraId="139046DC">
      <w:pPr>
        <w:spacing w:line="255" w:lineRule="auto"/>
        <w:rPr>
          <w:rFonts w:ascii="Arial"/>
          <w:sz w:val="21"/>
        </w:rPr>
      </w:pPr>
    </w:p>
    <w:p w14:paraId="2F4D67D3">
      <w:pPr>
        <w:spacing w:line="255" w:lineRule="auto"/>
        <w:rPr>
          <w:rFonts w:ascii="Arial"/>
          <w:sz w:val="21"/>
        </w:rPr>
      </w:pPr>
    </w:p>
    <w:p w14:paraId="304E07A2">
      <w:pPr>
        <w:spacing w:line="255" w:lineRule="auto"/>
        <w:rPr>
          <w:rFonts w:ascii="Arial"/>
          <w:sz w:val="21"/>
        </w:rPr>
      </w:pPr>
    </w:p>
    <w:p w14:paraId="51F61EDA">
      <w:pPr>
        <w:spacing w:before="104" w:line="222" w:lineRule="auto"/>
        <w:ind w:left="35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2"/>
          <w:sz w:val="32"/>
          <w:szCs w:val="32"/>
        </w:rPr>
        <w:t>第六章附则</w:t>
      </w:r>
    </w:p>
    <w:p w14:paraId="38DD0718">
      <w:pPr>
        <w:pStyle w:val="2"/>
        <w:spacing w:before="213" w:line="271" w:lineRule="auto"/>
        <w:ind w:left="19" w:right="57" w:firstLine="660"/>
      </w:pPr>
      <w:r>
        <w:rPr>
          <w:spacing w:val="1"/>
        </w:rPr>
        <w:t>第二十四条本细则由省工业和信息化厅、省财政厅负责解</w:t>
      </w:r>
      <w:r>
        <w:rPr>
          <w:spacing w:val="8"/>
        </w:rPr>
        <w:t xml:space="preserve"> </w:t>
      </w:r>
      <w:r>
        <w:rPr>
          <w:spacing w:val="-16"/>
        </w:rPr>
        <w:t>释。</w:t>
      </w:r>
    </w:p>
    <w:p w14:paraId="2B026204">
      <w:pPr>
        <w:pStyle w:val="2"/>
        <w:spacing w:before="196" w:line="302" w:lineRule="auto"/>
        <w:ind w:right="32" w:firstLine="669"/>
      </w:pPr>
      <w:r>
        <w:rPr>
          <w:spacing w:val="1"/>
        </w:rPr>
        <w:t>第二十五条本细则自发布之日起实施，政策有效期至2025</w:t>
      </w:r>
      <w:r>
        <w:rPr>
          <w:spacing w:val="13"/>
        </w:rPr>
        <w:t xml:space="preserve"> </w:t>
      </w:r>
      <w:r>
        <w:rPr>
          <w:spacing w:val="2"/>
        </w:rPr>
        <w:t>年12月31日，《吉林省制造业智能化改造和数字化转型行动方</w:t>
      </w:r>
      <w:r>
        <w:rPr>
          <w:spacing w:val="12"/>
        </w:rPr>
        <w:t xml:space="preserve"> 案(2023-2025年)〉奖补政策实施细则(试行)》(吉工信办联</w:t>
      </w:r>
      <w:r>
        <w:rPr>
          <w:spacing w:val="8"/>
        </w:rPr>
        <w:t xml:space="preserve"> </w:t>
      </w:r>
      <w:r>
        <w:rPr>
          <w:spacing w:val="-2"/>
        </w:rPr>
        <w:t>〔2023〕36号)同时废止。期间如有变化，将按规定作出调整。</w:t>
      </w:r>
    </w:p>
    <w:p w14:paraId="063F38D2">
      <w:pPr>
        <w:spacing w:line="243" w:lineRule="auto"/>
        <w:rPr>
          <w:rFonts w:ascii="Arial"/>
          <w:sz w:val="21"/>
        </w:rPr>
      </w:pPr>
    </w:p>
    <w:p w14:paraId="0D5E9DB7">
      <w:pPr>
        <w:spacing w:line="243" w:lineRule="auto"/>
        <w:rPr>
          <w:rFonts w:ascii="Arial"/>
          <w:sz w:val="21"/>
        </w:rPr>
      </w:pPr>
    </w:p>
    <w:p w14:paraId="56599F7B">
      <w:pPr>
        <w:spacing w:line="244" w:lineRule="auto"/>
        <w:rPr>
          <w:rFonts w:ascii="Arial"/>
          <w:sz w:val="21"/>
        </w:rPr>
      </w:pPr>
    </w:p>
    <w:p w14:paraId="5D73DAE9">
      <w:pPr>
        <w:spacing w:line="244" w:lineRule="auto"/>
        <w:rPr>
          <w:rFonts w:ascii="Arial"/>
          <w:sz w:val="21"/>
        </w:rPr>
      </w:pPr>
    </w:p>
    <w:p w14:paraId="07FBA2FD">
      <w:pPr>
        <w:spacing w:line="244" w:lineRule="auto"/>
        <w:rPr>
          <w:rFonts w:ascii="Arial"/>
          <w:sz w:val="21"/>
        </w:rPr>
      </w:pPr>
    </w:p>
    <w:p w14:paraId="5768D076">
      <w:pPr>
        <w:spacing w:line="244" w:lineRule="auto"/>
        <w:rPr>
          <w:rFonts w:ascii="Arial"/>
          <w:sz w:val="21"/>
        </w:rPr>
      </w:pPr>
    </w:p>
    <w:p w14:paraId="7B4649C1">
      <w:pPr>
        <w:spacing w:line="244" w:lineRule="auto"/>
        <w:rPr>
          <w:rFonts w:ascii="Arial"/>
          <w:sz w:val="21"/>
        </w:rPr>
      </w:pPr>
    </w:p>
    <w:p w14:paraId="78DD128D">
      <w:pPr>
        <w:spacing w:line="244" w:lineRule="auto"/>
        <w:rPr>
          <w:rFonts w:ascii="Arial"/>
          <w:sz w:val="21"/>
        </w:rPr>
      </w:pPr>
    </w:p>
    <w:p w14:paraId="53039A59">
      <w:pPr>
        <w:spacing w:line="244" w:lineRule="auto"/>
        <w:rPr>
          <w:rFonts w:ascii="Arial"/>
          <w:sz w:val="21"/>
        </w:rPr>
      </w:pPr>
    </w:p>
    <w:p w14:paraId="71EBD109">
      <w:pPr>
        <w:spacing w:line="244" w:lineRule="auto"/>
        <w:rPr>
          <w:rFonts w:ascii="Arial"/>
          <w:sz w:val="21"/>
        </w:rPr>
      </w:pPr>
    </w:p>
    <w:p w14:paraId="4E4B9586">
      <w:pPr>
        <w:spacing w:line="244" w:lineRule="auto"/>
        <w:rPr>
          <w:rFonts w:ascii="Arial"/>
          <w:sz w:val="21"/>
        </w:rPr>
      </w:pPr>
    </w:p>
    <w:p w14:paraId="40138CE1">
      <w:pPr>
        <w:spacing w:line="244" w:lineRule="auto"/>
        <w:rPr>
          <w:rFonts w:ascii="Arial"/>
          <w:sz w:val="21"/>
        </w:rPr>
      </w:pPr>
    </w:p>
    <w:p w14:paraId="3CC8A9CF">
      <w:pPr>
        <w:spacing w:line="244" w:lineRule="auto"/>
        <w:rPr>
          <w:rFonts w:ascii="Arial"/>
          <w:sz w:val="21"/>
        </w:rPr>
      </w:pPr>
    </w:p>
    <w:p w14:paraId="2800E44D">
      <w:pPr>
        <w:spacing w:line="244" w:lineRule="auto"/>
        <w:rPr>
          <w:rFonts w:ascii="Arial"/>
          <w:sz w:val="21"/>
        </w:rPr>
      </w:pPr>
    </w:p>
    <w:p w14:paraId="752EDB30">
      <w:pPr>
        <w:spacing w:line="244" w:lineRule="auto"/>
        <w:rPr>
          <w:rFonts w:ascii="Arial"/>
          <w:sz w:val="21"/>
        </w:rPr>
      </w:pPr>
    </w:p>
    <w:p w14:paraId="519B6D7C">
      <w:pPr>
        <w:spacing w:line="244" w:lineRule="auto"/>
        <w:rPr>
          <w:rFonts w:ascii="Arial"/>
          <w:sz w:val="21"/>
        </w:rPr>
      </w:pPr>
    </w:p>
    <w:p w14:paraId="2D309223">
      <w:pPr>
        <w:spacing w:line="244" w:lineRule="auto"/>
        <w:rPr>
          <w:rFonts w:ascii="Arial"/>
          <w:sz w:val="21"/>
        </w:rPr>
      </w:pPr>
    </w:p>
    <w:p w14:paraId="72155DBD">
      <w:pPr>
        <w:spacing w:line="244" w:lineRule="auto"/>
        <w:rPr>
          <w:rFonts w:ascii="Arial"/>
          <w:sz w:val="21"/>
        </w:rPr>
      </w:pPr>
    </w:p>
    <w:p w14:paraId="3277DAA3">
      <w:pPr>
        <w:spacing w:line="244" w:lineRule="auto"/>
        <w:rPr>
          <w:rFonts w:ascii="Arial"/>
          <w:sz w:val="21"/>
        </w:rPr>
      </w:pPr>
    </w:p>
    <w:p w14:paraId="75F27FEB">
      <w:pPr>
        <w:spacing w:line="244" w:lineRule="auto"/>
        <w:rPr>
          <w:rFonts w:ascii="Arial"/>
          <w:sz w:val="21"/>
        </w:rPr>
      </w:pPr>
    </w:p>
    <w:p w14:paraId="66B89CE3">
      <w:pPr>
        <w:spacing w:line="244" w:lineRule="auto"/>
        <w:rPr>
          <w:rFonts w:ascii="Arial"/>
          <w:sz w:val="21"/>
        </w:rPr>
      </w:pPr>
    </w:p>
    <w:p w14:paraId="00D5535B">
      <w:pPr>
        <w:spacing w:line="244" w:lineRule="auto"/>
        <w:rPr>
          <w:rFonts w:ascii="Arial"/>
          <w:sz w:val="21"/>
        </w:rPr>
      </w:pPr>
    </w:p>
    <w:p w14:paraId="251439DF">
      <w:pPr>
        <w:spacing w:line="244" w:lineRule="auto"/>
        <w:rPr>
          <w:rFonts w:ascii="Arial"/>
          <w:sz w:val="21"/>
        </w:rPr>
      </w:pPr>
    </w:p>
    <w:p w14:paraId="74FEDB5E">
      <w:pPr>
        <w:spacing w:line="244" w:lineRule="auto"/>
        <w:rPr>
          <w:rFonts w:ascii="Arial"/>
          <w:sz w:val="21"/>
        </w:rPr>
      </w:pPr>
    </w:p>
    <w:p w14:paraId="3374E028">
      <w:pPr>
        <w:spacing w:line="244" w:lineRule="auto"/>
        <w:rPr>
          <w:rFonts w:ascii="Arial"/>
          <w:sz w:val="21"/>
        </w:rPr>
      </w:pPr>
    </w:p>
    <w:p w14:paraId="5BDE8F4A">
      <w:pPr>
        <w:spacing w:line="244" w:lineRule="auto"/>
        <w:rPr>
          <w:rFonts w:ascii="Arial"/>
          <w:sz w:val="21"/>
        </w:rPr>
      </w:pPr>
    </w:p>
    <w:p w14:paraId="0AFB50A5">
      <w:pPr>
        <w:spacing w:line="244" w:lineRule="auto"/>
        <w:rPr>
          <w:rFonts w:ascii="Arial"/>
          <w:sz w:val="21"/>
        </w:rPr>
      </w:pPr>
    </w:p>
    <w:p w14:paraId="0784DDB9">
      <w:pPr>
        <w:spacing w:line="244" w:lineRule="auto"/>
        <w:rPr>
          <w:rFonts w:ascii="Arial"/>
          <w:sz w:val="21"/>
        </w:rPr>
      </w:pPr>
    </w:p>
    <w:p w14:paraId="1957063A">
      <w:pPr>
        <w:spacing w:line="244" w:lineRule="auto"/>
        <w:rPr>
          <w:rFonts w:ascii="Arial"/>
          <w:sz w:val="21"/>
        </w:rPr>
      </w:pPr>
    </w:p>
    <w:p w14:paraId="315E338F">
      <w:pPr>
        <w:spacing w:line="244" w:lineRule="auto"/>
        <w:rPr>
          <w:rFonts w:ascii="Arial"/>
          <w:sz w:val="21"/>
        </w:rPr>
      </w:pPr>
    </w:p>
    <w:p w14:paraId="3F5549B6">
      <w:pPr>
        <w:spacing w:line="244" w:lineRule="auto"/>
        <w:rPr>
          <w:rFonts w:ascii="Arial"/>
          <w:sz w:val="21"/>
        </w:rPr>
      </w:pPr>
      <w:r>
        <w:pict>
          <v:shape id="_x0000_s1027" o:spid="_x0000_s1027" style="position:absolute;left:0pt;margin-left:6.2pt;margin-top:11.45pt;height:0.5pt;width:432pt;z-index:251662336;mso-width-relative:page;mso-height-relative:page;" filled="f" stroked="t" coordsize="8640,10" path="m0,5l4759,5m4759,5l863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02B8C894">
      <w:pPr>
        <w:spacing w:before="95" w:line="219" w:lineRule="auto"/>
        <w:jc w:val="right"/>
        <w:rPr>
          <w:rFonts w:ascii="宋体" w:hAnsi="宋体" w:eastAsia="宋体" w:cs="宋体"/>
          <w:sz w:val="29"/>
          <w:szCs w:val="29"/>
        </w:rPr>
      </w:pPr>
      <w:r>
        <w:pict>
          <v:shape id="_x0000_s1028" o:spid="_x0000_s1028" style="position:absolute;left:0pt;margin-left:6.2pt;margin-top:24.15pt;height:0.5pt;width:432pt;z-index:251663360;mso-width-relative:page;mso-height-relative:page;" filled="f" stroked="t" coordsize="8640,10" path="m0,5l4759,5m4759,5l863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2"/>
          <w:sz w:val="29"/>
          <w:szCs w:val="29"/>
        </w:rPr>
        <w:t>吉林省工业和信息化厅办公室                2024年8</w:t>
      </w:r>
      <w:r>
        <w:rPr>
          <w:rFonts w:ascii="宋体" w:hAnsi="宋体" w:eastAsia="宋体" w:cs="宋体"/>
          <w:spacing w:val="1"/>
          <w:sz w:val="29"/>
          <w:szCs w:val="29"/>
        </w:rPr>
        <w:t>月23日印发</w:t>
      </w:r>
    </w:p>
    <w:sectPr>
      <w:footerReference r:id="rId17" w:type="default"/>
      <w:pgSz w:w="11910" w:h="16840"/>
      <w:pgMar w:top="400" w:right="1647" w:bottom="1896" w:left="1490" w:header="0" w:footer="15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766B8">
    <w:pPr>
      <w:spacing w:line="233" w:lineRule="auto"/>
      <w:ind w:left="2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F84C">
    <w:pPr>
      <w:spacing w:line="233" w:lineRule="auto"/>
      <w:ind w:left="747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6B4F">
    <w:pPr>
      <w:spacing w:line="233" w:lineRule="auto"/>
      <w:ind w:left="30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ECB4A">
    <w:pPr>
      <w:spacing w:before="1" w:line="231" w:lineRule="auto"/>
      <w:ind w:left="769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554D3">
    <w:pPr>
      <w:spacing w:line="233" w:lineRule="auto"/>
      <w:ind w:left="25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2803B">
    <w:pPr>
      <w:spacing w:before="1" w:line="231" w:lineRule="auto"/>
      <w:ind w:left="765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92295">
    <w:pPr>
      <w:spacing w:before="1" w:line="231" w:lineRule="auto"/>
      <w:ind w:left="25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A6DFD">
    <w:pPr>
      <w:spacing w:line="232" w:lineRule="auto"/>
      <w:ind w:left="765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D9062">
    <w:pPr>
      <w:spacing w:line="232" w:lineRule="auto"/>
      <w:ind w:left="25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83D37">
    <w:pPr>
      <w:spacing w:line="232" w:lineRule="auto"/>
      <w:ind w:left="761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EC88">
    <w:pPr>
      <w:spacing w:before="1" w:line="231" w:lineRule="auto"/>
      <w:ind w:left="28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5EDF6">
    <w:pPr>
      <w:pStyle w:val="2"/>
      <w:spacing w:before="81" w:line="222" w:lineRule="auto"/>
    </w:pPr>
    <w:r>
      <w:rPr>
        <w:spacing w:val="-9"/>
      </w:rPr>
      <w:t>设备购置、软件购置和其他技术咨询与服务费，不包含土建和厂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2E6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F97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4826</Words>
  <Characters>4986</Characters>
  <TotalTime>0</TotalTime>
  <ScaleCrop>false</ScaleCrop>
  <LinksUpToDate>false</LinksUpToDate>
  <CharactersWithSpaces>5151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2026-06-12T15:28:00Z</dcterms:created>
  <dc:creator>Administrator</dc:creator>
  <cp:lastModifiedBy>火凤凰</cp:lastModifiedBy>
  <dcterms:modified xsi:type="dcterms:W3CDTF">2026-06-12T07:30:23Z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2026-06-12T15:28:45Z</vt:filetime>
  </property>
  <property fmtid="{D5CDD505-2E9C-101B-9397-08002B2CF9AE}" pid="4" name="UsrData">
    <vt:lpwstr>6a2bb52900d262001f2616f5wl</vt:lpwstr>
  </property>
  <property fmtid="{D5CDD505-2E9C-101B-9397-08002B2CF9AE}" pid="5" name="KSOProductBuildVer">
    <vt:lpwstr>2052-12.1.0.22529</vt:lpwstr>
  </property>
  <property fmtid="{D5CDD505-2E9C-101B-9397-08002B2CF9AE}" pid="6" name="ICV">
    <vt:lpwstr>C0F3E2CF44D9450390B2B5617A36B6D0_13</vt:lpwstr>
  </property>
</Properties>
</file>