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sz w:val="44"/>
          <w:szCs w:val="44"/>
          <w:lang w:eastAsia="zh-CN"/>
        </w:rPr>
      </w:pPr>
    </w:p>
    <w:p>
      <w:pPr>
        <w:jc w:val="center"/>
        <w:rPr>
          <w:rFonts w:hint="eastAsia" w:ascii="宋体" w:hAnsi="宋体" w:eastAsia="方正小标宋简体" w:cs="方正小标宋简体"/>
          <w:sz w:val="44"/>
          <w:szCs w:val="44"/>
          <w:lang w:eastAsia="zh-CN"/>
        </w:rPr>
      </w:pPr>
    </w:p>
    <w:p>
      <w:pPr>
        <w:jc w:val="center"/>
        <w:rPr>
          <w:rFonts w:hint="eastAsia" w:ascii="宋体" w:hAnsi="宋体" w:eastAsia="方正小标宋简体" w:cs="方正小标宋简体"/>
          <w:sz w:val="44"/>
          <w:szCs w:val="44"/>
          <w:lang w:eastAsia="zh-CN"/>
        </w:rPr>
      </w:pPr>
    </w:p>
    <w:p>
      <w:pPr>
        <w:jc w:val="center"/>
        <w:rPr>
          <w:rFonts w:hint="eastAsia" w:ascii="宋体" w:hAnsi="宋体" w:eastAsia="方正小标宋简体" w:cs="方正小标宋简体"/>
          <w:sz w:val="44"/>
          <w:szCs w:val="44"/>
          <w:lang w:eastAsia="zh-CN"/>
        </w:rPr>
      </w:pPr>
    </w:p>
    <w:p>
      <w:pPr>
        <w:jc w:val="center"/>
        <w:rPr>
          <w:rFonts w:hint="eastAsia" w:ascii="宋体" w:hAnsi="宋体" w:eastAsia="方正小标宋简体" w:cs="方正小标宋简体"/>
          <w:sz w:val="44"/>
          <w:szCs w:val="44"/>
          <w:lang w:eastAsia="zh-CN"/>
        </w:rPr>
      </w:pPr>
    </w:p>
    <w:p>
      <w:pPr>
        <w:jc w:val="center"/>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白山市医药高新产业园起步区建设项目（一期）本项目专项债券项目绩效评价报告</w:t>
      </w:r>
    </w:p>
    <w:p/>
    <w:p>
      <w:pPr>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br w:type="page"/>
      </w:r>
      <w:bookmarkStart w:id="0" w:name="_Toc4365"/>
    </w:p>
    <w:sdt>
      <w:sdtPr>
        <w:rPr>
          <w:rFonts w:hint="eastAsia" w:ascii="方正小标宋简体" w:hAnsi="方正小标宋简体" w:eastAsia="方正小标宋简体" w:cs="方正小标宋简体"/>
          <w:kern w:val="2"/>
          <w:sz w:val="36"/>
          <w:szCs w:val="36"/>
          <w:lang w:val="en-US" w:eastAsia="zh-CN" w:bidi="ar-SA"/>
        </w:rPr>
        <w:id w:val="147455296"/>
        <w15:color w:val="DBDBDB"/>
        <w:docPartObj>
          <w:docPartGallery w:val="Table of Contents"/>
          <w:docPartUnique/>
        </w:docPartObj>
      </w:sdtPr>
      <w:sdtEndPr>
        <w:rPr>
          <w:rFonts w:hint="eastAsia" w:ascii="方正小标宋简体" w:hAnsi="方正小标宋简体" w:eastAsia="方正小标宋简体" w:cs="方正小标宋简体"/>
          <w:b/>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bookmarkStart w:id="44" w:name="_GoBack"/>
          <w:bookmarkEnd w:id="44"/>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15"/>
            <w:tabs>
              <w:tab w:val="right" w:leader="dot" w:pos="8306"/>
            </w:tabs>
            <w:spacing w:line="360" w:lineRule="auto"/>
            <w:rPr>
              <w:rFonts w:ascii="宋体" w:hAnsi="宋体" w:eastAsia="仿宋_GB2312"/>
              <w:b w:val="0"/>
              <w:bCs/>
              <w:sz w:val="28"/>
              <w:szCs w:val="28"/>
            </w:rPr>
          </w:pPr>
          <w:r>
            <w:fldChar w:fldCharType="begin"/>
          </w:r>
          <w:r>
            <w:instrText xml:space="preserve">TOC \o "1-2" \h \u </w:instrText>
          </w:r>
          <w:r>
            <w:fldChar w:fldCharType="separate"/>
          </w: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_Toc16927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lang w:eastAsia="zh-CN"/>
            </w:rPr>
            <w:t>一、基本情况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_Toc16927 \h </w:instrText>
          </w:r>
          <w:r>
            <w:rPr>
              <w:rFonts w:ascii="宋体" w:hAnsi="宋体" w:eastAsia="仿宋_GB2312"/>
              <w:b w:val="0"/>
              <w:bCs/>
              <w:sz w:val="28"/>
              <w:szCs w:val="28"/>
            </w:rPr>
            <w:fldChar w:fldCharType="separate"/>
          </w:r>
          <w:r>
            <w:rPr>
              <w:rFonts w:ascii="宋体" w:hAnsi="宋体" w:eastAsia="仿宋_GB2312"/>
              <w:b w:val="0"/>
              <w:bCs/>
              <w:sz w:val="28"/>
              <w:szCs w:val="28"/>
            </w:rPr>
            <w:t>1</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_Toc15256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（一）项目概况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_Toc15256 \h </w:instrText>
          </w:r>
          <w:r>
            <w:rPr>
              <w:rFonts w:ascii="宋体" w:hAnsi="宋体" w:eastAsia="仿宋_GB2312"/>
              <w:b w:val="0"/>
              <w:bCs/>
              <w:sz w:val="28"/>
              <w:szCs w:val="28"/>
            </w:rPr>
            <w:fldChar w:fldCharType="separate"/>
          </w:r>
          <w:r>
            <w:rPr>
              <w:rFonts w:ascii="宋体" w:hAnsi="宋体" w:eastAsia="仿宋_GB2312"/>
              <w:b w:val="0"/>
              <w:bCs/>
              <w:sz w:val="28"/>
              <w:szCs w:val="28"/>
            </w:rPr>
            <w:t>1</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_Toc19856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（二） 项目绩效目标</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_Toc19856 \h </w:instrText>
          </w:r>
          <w:r>
            <w:rPr>
              <w:rFonts w:ascii="宋体" w:hAnsi="宋体" w:eastAsia="仿宋_GB2312"/>
              <w:b w:val="0"/>
              <w:bCs/>
              <w:sz w:val="28"/>
              <w:szCs w:val="28"/>
            </w:rPr>
            <w:fldChar w:fldCharType="separate"/>
          </w:r>
          <w:r>
            <w:rPr>
              <w:rFonts w:ascii="宋体" w:hAnsi="宋体" w:eastAsia="仿宋_GB2312"/>
              <w:b w:val="0"/>
              <w:bCs/>
              <w:sz w:val="28"/>
              <w:szCs w:val="28"/>
            </w:rPr>
            <w:t>5</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_Toc10732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lang w:val="en-US" w:eastAsia="zh-CN"/>
            </w:rPr>
            <w:t>二、绩效评价工作开展情况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_Toc10732 \h </w:instrText>
          </w:r>
          <w:r>
            <w:rPr>
              <w:rFonts w:ascii="宋体" w:hAnsi="宋体" w:eastAsia="仿宋_GB2312"/>
              <w:b w:val="0"/>
              <w:bCs/>
              <w:sz w:val="28"/>
              <w:szCs w:val="28"/>
            </w:rPr>
            <w:fldChar w:fldCharType="separate"/>
          </w:r>
          <w:r>
            <w:rPr>
              <w:rFonts w:ascii="宋体" w:hAnsi="宋体" w:eastAsia="仿宋_GB2312"/>
              <w:b w:val="0"/>
              <w:bCs/>
              <w:sz w:val="28"/>
              <w:szCs w:val="28"/>
            </w:rPr>
            <w:t>5</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_Toc30146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（一）绩效评价目标、对象和范围</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_Toc30146 \h </w:instrText>
          </w:r>
          <w:r>
            <w:rPr>
              <w:rFonts w:ascii="宋体" w:hAnsi="宋体" w:eastAsia="仿宋_GB2312"/>
              <w:b w:val="0"/>
              <w:bCs/>
              <w:sz w:val="28"/>
              <w:szCs w:val="28"/>
            </w:rPr>
            <w:fldChar w:fldCharType="separate"/>
          </w:r>
          <w:r>
            <w:rPr>
              <w:rFonts w:ascii="宋体" w:hAnsi="宋体" w:eastAsia="仿宋_GB2312"/>
              <w:b w:val="0"/>
              <w:bCs/>
              <w:sz w:val="28"/>
              <w:szCs w:val="28"/>
            </w:rPr>
            <w:t>5</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_Toc26739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（二）绩效评价原则、评价指标体系、评价方法、评价标准</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_Toc26739 \h </w:instrText>
          </w:r>
          <w:r>
            <w:rPr>
              <w:rFonts w:ascii="宋体" w:hAnsi="宋体" w:eastAsia="仿宋_GB2312"/>
              <w:b w:val="0"/>
              <w:bCs/>
              <w:sz w:val="28"/>
              <w:szCs w:val="28"/>
            </w:rPr>
            <w:fldChar w:fldCharType="separate"/>
          </w:r>
          <w:r>
            <w:rPr>
              <w:rFonts w:ascii="宋体" w:hAnsi="宋体" w:eastAsia="仿宋_GB2312"/>
              <w:b w:val="0"/>
              <w:bCs/>
              <w:sz w:val="28"/>
              <w:szCs w:val="28"/>
            </w:rPr>
            <w:t>6</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_Toc25332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（三） 绩效评</w:t>
          </w:r>
          <w:r>
            <w:rPr>
              <w:rFonts w:hint="eastAsia" w:ascii="宋体" w:hAnsi="宋体" w:eastAsia="仿宋_GB2312" w:cs="仿宋_GB2312"/>
              <w:b w:val="0"/>
              <w:bCs/>
              <w:sz w:val="28"/>
              <w:szCs w:val="28"/>
              <w:highlight w:val="none"/>
              <w:lang w:val="en-US" w:eastAsia="zh-CN"/>
            </w:rPr>
            <w:t>价工作过程。</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_Toc25332 \h </w:instrText>
          </w:r>
          <w:r>
            <w:rPr>
              <w:rFonts w:ascii="宋体" w:hAnsi="宋体" w:eastAsia="仿宋_GB2312"/>
              <w:b w:val="0"/>
              <w:bCs/>
              <w:sz w:val="28"/>
              <w:szCs w:val="28"/>
            </w:rPr>
            <w:fldChar w:fldCharType="separate"/>
          </w:r>
          <w:r>
            <w:rPr>
              <w:rFonts w:ascii="宋体" w:hAnsi="宋体" w:eastAsia="仿宋_GB2312"/>
              <w:b w:val="0"/>
              <w:bCs/>
              <w:sz w:val="28"/>
              <w:szCs w:val="28"/>
            </w:rPr>
            <w:t>8</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_Toc15394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 xml:space="preserve">三、 </w:t>
          </w:r>
          <w:r>
            <w:rPr>
              <w:rFonts w:hint="eastAsia" w:ascii="宋体" w:hAnsi="宋体" w:eastAsia="仿宋_GB2312" w:cs="黑体"/>
              <w:b w:val="0"/>
              <w:bCs/>
              <w:sz w:val="28"/>
              <w:szCs w:val="28"/>
              <w:lang w:val="en-US" w:eastAsia="zh-CN"/>
            </w:rPr>
            <w:t>综合评价情况及评论结论</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_Toc15394 \h </w:instrText>
          </w:r>
          <w:r>
            <w:rPr>
              <w:rFonts w:ascii="宋体" w:hAnsi="宋体" w:eastAsia="仿宋_GB2312"/>
              <w:b w:val="0"/>
              <w:bCs/>
              <w:sz w:val="28"/>
              <w:szCs w:val="28"/>
            </w:rPr>
            <w:fldChar w:fldCharType="separate"/>
          </w:r>
          <w:r>
            <w:rPr>
              <w:rFonts w:ascii="宋体" w:hAnsi="宋体" w:eastAsia="仿宋_GB2312"/>
              <w:b w:val="0"/>
              <w:bCs/>
              <w:sz w:val="28"/>
              <w:szCs w:val="28"/>
            </w:rPr>
            <w:t>10</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_Toc21817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highlight w:val="none"/>
              <w:lang w:val="en-US" w:eastAsia="zh-CN"/>
            </w:rPr>
            <w:t>四、绩效评价指标分析</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_Toc21817 \h </w:instrText>
          </w:r>
          <w:r>
            <w:rPr>
              <w:rFonts w:ascii="宋体" w:hAnsi="宋体" w:eastAsia="仿宋_GB2312"/>
              <w:b w:val="0"/>
              <w:bCs/>
              <w:sz w:val="28"/>
              <w:szCs w:val="28"/>
            </w:rPr>
            <w:fldChar w:fldCharType="separate"/>
          </w:r>
          <w:r>
            <w:rPr>
              <w:rFonts w:ascii="宋体" w:hAnsi="宋体" w:eastAsia="仿宋_GB2312"/>
              <w:b w:val="0"/>
              <w:bCs/>
              <w:sz w:val="28"/>
              <w:szCs w:val="28"/>
            </w:rPr>
            <w:t>11</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_Toc24580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（一）项目决策情况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_Toc24580 \h </w:instrText>
          </w:r>
          <w:r>
            <w:rPr>
              <w:rFonts w:ascii="宋体" w:hAnsi="宋体" w:eastAsia="仿宋_GB2312"/>
              <w:b w:val="0"/>
              <w:bCs/>
              <w:sz w:val="28"/>
              <w:szCs w:val="28"/>
            </w:rPr>
            <w:fldChar w:fldCharType="separate"/>
          </w:r>
          <w:r>
            <w:rPr>
              <w:rFonts w:ascii="宋体" w:hAnsi="宋体" w:eastAsia="仿宋_GB2312"/>
              <w:b w:val="0"/>
              <w:bCs/>
              <w:sz w:val="28"/>
              <w:szCs w:val="28"/>
            </w:rPr>
            <w:t>11</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_Toc12709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 xml:space="preserve">（二） </w:t>
          </w:r>
          <w:r>
            <w:rPr>
              <w:rFonts w:hint="eastAsia" w:ascii="宋体" w:hAnsi="宋体" w:eastAsia="仿宋_GB2312" w:cs="仿宋_GB2312"/>
              <w:b w:val="0"/>
              <w:bCs/>
              <w:sz w:val="28"/>
              <w:szCs w:val="28"/>
              <w:highlight w:val="none"/>
              <w:lang w:val="en-US" w:eastAsia="zh-CN"/>
            </w:rPr>
            <w:t>项目过程情况。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_Toc12709 \h </w:instrText>
          </w:r>
          <w:r>
            <w:rPr>
              <w:rFonts w:ascii="宋体" w:hAnsi="宋体" w:eastAsia="仿宋_GB2312"/>
              <w:b w:val="0"/>
              <w:bCs/>
              <w:sz w:val="28"/>
              <w:szCs w:val="28"/>
            </w:rPr>
            <w:fldChar w:fldCharType="separate"/>
          </w:r>
          <w:r>
            <w:rPr>
              <w:rFonts w:ascii="宋体" w:hAnsi="宋体" w:eastAsia="仿宋_GB2312"/>
              <w:b w:val="0"/>
              <w:bCs/>
              <w:sz w:val="28"/>
              <w:szCs w:val="28"/>
            </w:rPr>
            <w:t>11</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_Toc18987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 xml:space="preserve">（三） </w:t>
          </w:r>
          <w:r>
            <w:rPr>
              <w:rFonts w:hint="eastAsia" w:ascii="宋体" w:hAnsi="宋体" w:eastAsia="仿宋_GB2312" w:cs="仿宋_GB2312"/>
              <w:b w:val="0"/>
              <w:bCs/>
              <w:sz w:val="28"/>
              <w:szCs w:val="28"/>
              <w:highlight w:val="none"/>
              <w:lang w:val="en-US" w:eastAsia="zh-CN"/>
            </w:rPr>
            <w:t>项目产出情况。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_Toc18987 \h </w:instrText>
          </w:r>
          <w:r>
            <w:rPr>
              <w:rFonts w:ascii="宋体" w:hAnsi="宋体" w:eastAsia="仿宋_GB2312"/>
              <w:b w:val="0"/>
              <w:bCs/>
              <w:sz w:val="28"/>
              <w:szCs w:val="28"/>
            </w:rPr>
            <w:fldChar w:fldCharType="separate"/>
          </w:r>
          <w:r>
            <w:rPr>
              <w:rFonts w:ascii="宋体" w:hAnsi="宋体" w:eastAsia="仿宋_GB2312"/>
              <w:b w:val="0"/>
              <w:bCs/>
              <w:sz w:val="28"/>
              <w:szCs w:val="28"/>
            </w:rPr>
            <w:t>12</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_Toc28171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lang w:val="en-US" w:eastAsia="zh-CN"/>
            </w:rPr>
            <w:t xml:space="preserve">（四） </w:t>
          </w:r>
          <w:r>
            <w:rPr>
              <w:rFonts w:hint="eastAsia" w:ascii="宋体" w:hAnsi="宋体" w:eastAsia="仿宋_GB2312" w:cs="仿宋_GB2312"/>
              <w:b w:val="0"/>
              <w:bCs/>
              <w:sz w:val="28"/>
              <w:szCs w:val="28"/>
              <w:highlight w:val="none"/>
              <w:lang w:val="en-US" w:eastAsia="zh-CN"/>
            </w:rPr>
            <w:t>项目效益情况。</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_Toc28171 \h </w:instrText>
          </w:r>
          <w:r>
            <w:rPr>
              <w:rFonts w:ascii="宋体" w:hAnsi="宋体" w:eastAsia="仿宋_GB2312"/>
              <w:b w:val="0"/>
              <w:bCs/>
              <w:sz w:val="28"/>
              <w:szCs w:val="28"/>
            </w:rPr>
            <w:fldChar w:fldCharType="separate"/>
          </w:r>
          <w:r>
            <w:rPr>
              <w:rFonts w:ascii="宋体" w:hAnsi="宋体" w:eastAsia="仿宋_GB2312"/>
              <w:b w:val="0"/>
              <w:bCs/>
              <w:sz w:val="28"/>
              <w:szCs w:val="28"/>
            </w:rPr>
            <w:t>13</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_Toc14595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lang w:val="en-US" w:eastAsia="zh-CN"/>
            </w:rPr>
            <w:t>四、 主要经验及做法、存在的问题及原因分析、</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_Toc14595 \h </w:instrText>
          </w:r>
          <w:r>
            <w:rPr>
              <w:rFonts w:ascii="宋体" w:hAnsi="宋体" w:eastAsia="仿宋_GB2312"/>
              <w:b w:val="0"/>
              <w:bCs/>
              <w:sz w:val="28"/>
              <w:szCs w:val="28"/>
            </w:rPr>
            <w:fldChar w:fldCharType="separate"/>
          </w:r>
          <w:r>
            <w:rPr>
              <w:rFonts w:ascii="宋体" w:hAnsi="宋体" w:eastAsia="仿宋_GB2312"/>
              <w:b w:val="0"/>
              <w:bCs/>
              <w:sz w:val="28"/>
              <w:szCs w:val="28"/>
            </w:rPr>
            <w:t>13</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_Toc30598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（一）监督问责机制欠缺，项目运行监控存在隐患</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_Toc30598 \h </w:instrText>
          </w:r>
          <w:r>
            <w:rPr>
              <w:rFonts w:ascii="宋体" w:hAnsi="宋体" w:eastAsia="仿宋_GB2312"/>
              <w:b w:val="0"/>
              <w:bCs/>
              <w:sz w:val="28"/>
              <w:szCs w:val="28"/>
            </w:rPr>
            <w:fldChar w:fldCharType="separate"/>
          </w:r>
          <w:r>
            <w:rPr>
              <w:rFonts w:ascii="宋体" w:hAnsi="宋体" w:eastAsia="仿宋_GB2312"/>
              <w:b w:val="0"/>
              <w:bCs/>
              <w:sz w:val="28"/>
              <w:szCs w:val="28"/>
            </w:rPr>
            <w:t>13</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_Toc21547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（二）管理制度不健全，库存管理存在隐患</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_Toc21547 \h </w:instrText>
          </w:r>
          <w:r>
            <w:rPr>
              <w:rFonts w:ascii="宋体" w:hAnsi="宋体" w:eastAsia="仿宋_GB2312"/>
              <w:b w:val="0"/>
              <w:bCs/>
              <w:sz w:val="28"/>
              <w:szCs w:val="28"/>
            </w:rPr>
            <w:fldChar w:fldCharType="separate"/>
          </w:r>
          <w:r>
            <w:rPr>
              <w:rFonts w:ascii="宋体" w:hAnsi="宋体" w:eastAsia="仿宋_GB2312"/>
              <w:b w:val="0"/>
              <w:bCs/>
              <w:sz w:val="28"/>
              <w:szCs w:val="28"/>
            </w:rPr>
            <w:t>13</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_Toc21086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lang w:val="en-US" w:eastAsia="zh-CN"/>
            </w:rPr>
            <w:t>五、 有关建议</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_Toc21086 \h </w:instrText>
          </w:r>
          <w:r>
            <w:rPr>
              <w:rFonts w:ascii="宋体" w:hAnsi="宋体" w:eastAsia="仿宋_GB2312"/>
              <w:b w:val="0"/>
              <w:bCs/>
              <w:sz w:val="28"/>
              <w:szCs w:val="28"/>
            </w:rPr>
            <w:fldChar w:fldCharType="separate"/>
          </w:r>
          <w:r>
            <w:rPr>
              <w:rFonts w:ascii="宋体" w:hAnsi="宋体" w:eastAsia="仿宋_GB2312"/>
              <w:b w:val="0"/>
              <w:bCs/>
              <w:sz w:val="28"/>
              <w:szCs w:val="28"/>
            </w:rPr>
            <w:t>14</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_Toc17743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（一）健全预算编制制度，规范预算编制管理</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_Toc17743 \h </w:instrText>
          </w:r>
          <w:r>
            <w:rPr>
              <w:rFonts w:ascii="宋体" w:hAnsi="宋体" w:eastAsia="仿宋_GB2312"/>
              <w:b w:val="0"/>
              <w:bCs/>
              <w:sz w:val="28"/>
              <w:szCs w:val="28"/>
            </w:rPr>
            <w:fldChar w:fldCharType="separate"/>
          </w:r>
          <w:r>
            <w:rPr>
              <w:rFonts w:ascii="宋体" w:hAnsi="宋体" w:eastAsia="仿宋_GB2312"/>
              <w:b w:val="0"/>
              <w:bCs/>
              <w:sz w:val="28"/>
              <w:szCs w:val="28"/>
            </w:rPr>
            <w:t>14</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6"/>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_Toc26125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（二）加强档案及库存管理，形成内部循环控制系统</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_Toc26125 \h </w:instrText>
          </w:r>
          <w:r>
            <w:rPr>
              <w:rFonts w:ascii="宋体" w:hAnsi="宋体" w:eastAsia="仿宋_GB2312"/>
              <w:b w:val="0"/>
              <w:bCs/>
              <w:sz w:val="28"/>
              <w:szCs w:val="28"/>
            </w:rPr>
            <w:fldChar w:fldCharType="separate"/>
          </w:r>
          <w:r>
            <w:rPr>
              <w:rFonts w:ascii="宋体" w:hAnsi="宋体" w:eastAsia="仿宋_GB2312"/>
              <w:b w:val="0"/>
              <w:bCs/>
              <w:sz w:val="28"/>
              <w:szCs w:val="28"/>
            </w:rPr>
            <w:t>14</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_Toc4244 </w:instrText>
          </w:r>
          <w:r>
            <w:rPr>
              <w:rFonts w:ascii="宋体" w:hAnsi="宋体" w:eastAsia="仿宋_GB2312"/>
              <w:b w:val="0"/>
              <w:bCs/>
              <w:sz w:val="28"/>
              <w:szCs w:val="28"/>
            </w:rPr>
            <w:fldChar w:fldCharType="separate"/>
          </w:r>
          <w:r>
            <w:rPr>
              <w:rFonts w:hint="eastAsia" w:ascii="宋体" w:hAnsi="宋体" w:eastAsia="仿宋_GB2312" w:cs="黑体"/>
              <w:b w:val="0"/>
              <w:bCs/>
              <w:sz w:val="28"/>
              <w:szCs w:val="28"/>
              <w:lang w:val="en-US" w:eastAsia="zh-CN"/>
            </w:rPr>
            <w:t>六、其他需要说明的问题</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_Toc4244 \h </w:instrText>
          </w:r>
          <w:r>
            <w:rPr>
              <w:rFonts w:ascii="宋体" w:hAnsi="宋体" w:eastAsia="仿宋_GB2312"/>
              <w:b w:val="0"/>
              <w:bCs/>
              <w:sz w:val="28"/>
              <w:szCs w:val="28"/>
            </w:rPr>
            <w:fldChar w:fldCharType="separate"/>
          </w:r>
          <w:r>
            <w:rPr>
              <w:rFonts w:ascii="宋体" w:hAnsi="宋体" w:eastAsia="仿宋_GB2312"/>
              <w:b w:val="0"/>
              <w:bCs/>
              <w:sz w:val="28"/>
              <w:szCs w:val="28"/>
            </w:rPr>
            <w:t>14</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rFonts w:ascii="宋体" w:hAnsi="宋体" w:eastAsia="仿宋_GB2312"/>
              <w:b w:val="0"/>
              <w:bCs/>
              <w:sz w:val="28"/>
              <w:szCs w:val="28"/>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_Toc15979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附件</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_Toc15979 \h </w:instrText>
          </w:r>
          <w:r>
            <w:rPr>
              <w:rFonts w:ascii="宋体" w:hAnsi="宋体" w:eastAsia="仿宋_GB2312"/>
              <w:b w:val="0"/>
              <w:bCs/>
              <w:sz w:val="28"/>
              <w:szCs w:val="28"/>
            </w:rPr>
            <w:fldChar w:fldCharType="separate"/>
          </w:r>
          <w:r>
            <w:rPr>
              <w:rFonts w:ascii="宋体" w:hAnsi="宋体" w:eastAsia="仿宋_GB2312"/>
              <w:b w:val="0"/>
              <w:bCs/>
              <w:sz w:val="28"/>
              <w:szCs w:val="28"/>
            </w:rPr>
            <w:t>16</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pPr>
            <w:pStyle w:val="15"/>
            <w:tabs>
              <w:tab w:val="right" w:leader="dot" w:pos="8306"/>
            </w:tabs>
            <w:spacing w:line="360" w:lineRule="auto"/>
            <w:rPr>
              <w:b/>
            </w:rPr>
          </w:pPr>
          <w:r>
            <w:rPr>
              <w:rFonts w:ascii="宋体" w:hAnsi="宋体" w:eastAsia="仿宋_GB2312"/>
              <w:b w:val="0"/>
              <w:bCs/>
              <w:sz w:val="28"/>
              <w:szCs w:val="28"/>
            </w:rPr>
            <w:fldChar w:fldCharType="begin"/>
          </w:r>
          <w:r>
            <w:rPr>
              <w:rFonts w:ascii="宋体" w:hAnsi="宋体" w:eastAsia="仿宋_GB2312"/>
              <w:b w:val="0"/>
              <w:bCs/>
              <w:sz w:val="28"/>
              <w:szCs w:val="28"/>
            </w:rPr>
            <w:instrText xml:space="preserve"> HYPERLINK \l _Toc29072 </w:instrText>
          </w:r>
          <w:r>
            <w:rPr>
              <w:rFonts w:ascii="宋体" w:hAnsi="宋体" w:eastAsia="仿宋_GB2312"/>
              <w:b w:val="0"/>
              <w:bCs/>
              <w:sz w:val="28"/>
              <w:szCs w:val="28"/>
            </w:rPr>
            <w:fldChar w:fldCharType="separate"/>
          </w:r>
          <w:r>
            <w:rPr>
              <w:rFonts w:hint="eastAsia" w:ascii="宋体" w:hAnsi="宋体" w:eastAsia="仿宋_GB2312" w:cs="仿宋_GB2312"/>
              <w:b w:val="0"/>
              <w:bCs/>
              <w:sz w:val="28"/>
              <w:szCs w:val="28"/>
              <w:highlight w:val="none"/>
              <w:lang w:val="en-US" w:eastAsia="zh-CN"/>
            </w:rPr>
            <w:t>附表1专项债券项目绩效评价指标体系</w:t>
          </w:r>
          <w:r>
            <w:rPr>
              <w:rFonts w:ascii="宋体" w:hAnsi="宋体" w:eastAsia="仿宋_GB2312"/>
              <w:b w:val="0"/>
              <w:bCs/>
              <w:sz w:val="28"/>
              <w:szCs w:val="28"/>
            </w:rPr>
            <w:tab/>
          </w:r>
          <w:r>
            <w:rPr>
              <w:rFonts w:ascii="宋体" w:hAnsi="宋体" w:eastAsia="仿宋_GB2312"/>
              <w:b w:val="0"/>
              <w:bCs/>
              <w:sz w:val="28"/>
              <w:szCs w:val="28"/>
            </w:rPr>
            <w:fldChar w:fldCharType="begin"/>
          </w:r>
          <w:r>
            <w:rPr>
              <w:rFonts w:ascii="宋体" w:hAnsi="宋体" w:eastAsia="仿宋_GB2312"/>
              <w:b w:val="0"/>
              <w:bCs/>
              <w:sz w:val="28"/>
              <w:szCs w:val="28"/>
            </w:rPr>
            <w:instrText xml:space="preserve"> PAGEREF _Toc29072 \h </w:instrText>
          </w:r>
          <w:r>
            <w:rPr>
              <w:rFonts w:ascii="宋体" w:hAnsi="宋体" w:eastAsia="仿宋_GB2312"/>
              <w:b w:val="0"/>
              <w:bCs/>
              <w:sz w:val="28"/>
              <w:szCs w:val="28"/>
            </w:rPr>
            <w:fldChar w:fldCharType="separate"/>
          </w:r>
          <w:r>
            <w:rPr>
              <w:rFonts w:ascii="宋体" w:hAnsi="宋体" w:eastAsia="仿宋_GB2312"/>
              <w:b w:val="0"/>
              <w:bCs/>
              <w:sz w:val="28"/>
              <w:szCs w:val="28"/>
            </w:rPr>
            <w:t>16</w:t>
          </w:r>
          <w:r>
            <w:rPr>
              <w:rFonts w:ascii="宋体" w:hAnsi="宋体" w:eastAsia="仿宋_GB2312"/>
              <w:b w:val="0"/>
              <w:bCs/>
              <w:sz w:val="28"/>
              <w:szCs w:val="28"/>
            </w:rPr>
            <w:fldChar w:fldCharType="end"/>
          </w:r>
          <w:r>
            <w:rPr>
              <w:rFonts w:ascii="宋体" w:hAnsi="宋体" w:eastAsia="仿宋_GB2312"/>
              <w:b w:val="0"/>
              <w:bCs/>
              <w:sz w:val="28"/>
              <w:szCs w:val="28"/>
            </w:rPr>
            <w:fldChar w:fldCharType="end"/>
          </w:r>
        </w:p>
        <w:p>
          <w:r>
            <w:rPr>
              <w:b/>
            </w:rPr>
            <w:fldChar w:fldCharType="end"/>
          </w:r>
        </w:p>
      </w:sdtContent>
    </w:sdt>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黑体" w:cs="黑体"/>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16927"/>
    </w:p>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lang w:eastAsia="zh-CN"/>
        </w:rPr>
      </w:pPr>
      <w:r>
        <w:rPr>
          <w:rFonts w:hint="eastAsia" w:ascii="宋体" w:hAnsi="宋体" w:eastAsia="黑体" w:cs="黑体"/>
          <w:sz w:val="32"/>
          <w:szCs w:val="32"/>
          <w:lang w:eastAsia="zh-CN"/>
        </w:rPr>
        <w:t>一、基本情况</w:t>
      </w:r>
      <w:bookmarkEnd w:id="0"/>
      <w:bookmarkEnd w:id="1"/>
    </w:p>
    <w:p>
      <w:pPr>
        <w:ind w:firstLine="640"/>
        <w:outlineLvl w:val="1"/>
        <w:rPr>
          <w:rFonts w:hint="eastAsia" w:ascii="宋体" w:hAnsi="宋体" w:eastAsia="仿宋_GB2312" w:cs="仿宋_GB2312"/>
          <w:sz w:val="32"/>
          <w:szCs w:val="32"/>
          <w:lang w:val="en-US" w:eastAsia="zh-CN"/>
        </w:rPr>
      </w:pPr>
      <w:bookmarkStart w:id="2" w:name="_Toc15256"/>
      <w:bookmarkStart w:id="3" w:name="_Toc26954"/>
      <w:r>
        <w:rPr>
          <w:rFonts w:hint="eastAsia" w:ascii="宋体" w:hAnsi="宋体" w:eastAsia="仿宋_GB2312" w:cs="仿宋_GB2312"/>
          <w:sz w:val="32"/>
          <w:szCs w:val="32"/>
          <w:lang w:val="en-US" w:eastAsia="zh-CN"/>
        </w:rPr>
        <w:t>（一）项目概况</w:t>
      </w:r>
      <w:bookmarkEnd w:id="2"/>
      <w:bookmarkEnd w:id="3"/>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1、包括项目背景</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加快医药健康产业发展，是转方式、调结构的重要举措，是推进供给侧结构性改革的重要任务，是实现经济增长动力转化的重要途径，是改善民生的重要保障。为贯彻落实《国务院办公厅关于促进医药产业健康发展的指导意见》（国办发〔２０１６〕１１号），加快产业结构优化升级，大力推进吉林省 “十三五 ”期间医药健康产业快速发展。</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“十三五 ”期间，吉林省重点推进医药健康产品制造业升级壮大与医药健康服务业提速发展，在中药、生物制药、化学药、生物健康材料与保健食品、医疗器械、制药设备与检测仪器、医药商业与流通、医疗与健康服务８大领域和板块实现突破，促进医药健康产业绿色改造升级与安全发展，壮大医药健康产业规模。</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对医药健康企业自建或联合共建技术创新平台、入股营利性研发机构，以及为提升技术创新能力进行的并购重组等活动给予贷款贴息、融资租赁等财政、金融政策支持及税法规定的税收减免优惠，确保医药健康未来发展的可持续性</w:t>
      </w:r>
    </w:p>
    <w:p>
      <w:pPr>
        <w:numPr>
          <w:ilvl w:val="0"/>
          <w:numId w:val="1"/>
        </w:num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主要内容及实施情况</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项目总占地面积为16.23万㎡（分二块地，1、3宗地用地面积125,655.33㎡，2宗地用地面积36,654.18㎡），新建建筑面积为12.74万㎡（分二块地，1、3宗地建筑面积为95,857.79万㎡，2宗地建筑面积为31,571.01万㎡）。主要新建标准化厂房、附属用房、供热站、及相关配套的公用工程。</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本次申请的专项债券资金主要用于项目的建筑工程建设、设备购置、项目安装工程等。</w:t>
      </w:r>
    </w:p>
    <w:p>
      <w:pPr>
        <w:numPr>
          <w:ilvl w:val="0"/>
          <w:numId w:val="1"/>
        </w:numPr>
        <w:ind w:left="0" w:leftChars="0" w:firstLine="640" w:firstLine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资金投入和使用情况</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白山市医药高新产业园起步区建设项目（一期）本项目总投资48,990.01万元，其中财政预算资金23,490.01万元，占比47.95%；已发行抗疫特别国债2,500.00万元，占比5.10%；发行专项债券23,000.00万元，占比46.95%。</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本项目已于2021年5月一期工程中二宗地施工设计一体化工程正式开工，2021年拨付政府专项债券12300.00万元，实际使用11515.2197万元，预算资金执行率为93.62%，主要完成（宗地工程）的厂区清楚表土并弃置、厂区土方外进、平整场地、施工便道完成、清淤及淤泥换填、建筑垃圾外运、苗木移除、独立基础及基础短柱的施工；同时还有消防、水暖、通风工程施工，室内抹灰、刮顶施工、屋面防水及其他做法施工、室外管线施工、挡墙施工、外墙保温及抹灰施工、外墙真石漆施工等建设内容。</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2022年申请政府专项债券7700.00万元，已拨付预付款4300.00万元，其中700.00万元拨付于施工单位吉林吉宁工程建设有限公司，3600.00万元拨付于长春建设集团股份有限公司，因疫情因素影响，2022年开工时间延迟。</w:t>
      </w:r>
    </w:p>
    <w:p>
      <w:pPr>
        <w:ind w:firstLine="640"/>
        <w:jc w:val="center"/>
        <w:rPr>
          <w:rFonts w:hint="eastAsia" w:ascii="宋体" w:hAnsi="宋体" w:eastAsia="方正小标宋简体" w:cs="方正小标宋简体"/>
          <w:sz w:val="32"/>
          <w:szCs w:val="32"/>
          <w:lang w:val="en-US" w:eastAsia="zh-CN"/>
        </w:rPr>
      </w:pPr>
      <w:r>
        <w:rPr>
          <w:rFonts w:hint="eastAsia" w:ascii="宋体" w:hAnsi="宋体" w:eastAsia="方正小标宋简体" w:cs="方正小标宋简体"/>
          <w:sz w:val="32"/>
          <w:szCs w:val="32"/>
          <w:lang w:val="en-US" w:eastAsia="zh-CN"/>
        </w:rPr>
        <w:t>项目建设投资使用明细表</w:t>
      </w:r>
    </w:p>
    <w:p>
      <w:pPr>
        <w:ind w:firstLine="640"/>
        <w:jc w:val="right"/>
        <w:rPr>
          <w:rFonts w:hint="eastAsia" w:ascii="宋体" w:hAnsi="宋体" w:eastAsia="方正小标宋简体" w:cs="方正小标宋简体"/>
          <w:sz w:val="24"/>
          <w:szCs w:val="24"/>
          <w:lang w:val="en-US" w:eastAsia="zh-CN"/>
        </w:rPr>
      </w:pPr>
      <w:r>
        <w:rPr>
          <w:rFonts w:hint="eastAsia" w:ascii="宋体" w:hAnsi="宋体" w:eastAsia="方正小标宋简体" w:cs="方正小标宋简体"/>
          <w:sz w:val="24"/>
          <w:szCs w:val="24"/>
        </w:rPr>
        <w:t>单位：万元</w:t>
      </w:r>
    </w:p>
    <w:tbl>
      <w:tblPr>
        <w:tblStyle w:val="4"/>
        <w:tblW w:w="0" w:type="auto"/>
        <w:tblInd w:w="91" w:type="dxa"/>
        <w:tblLayout w:type="fixed"/>
        <w:tblCellMar>
          <w:top w:w="0" w:type="dxa"/>
          <w:left w:w="108" w:type="dxa"/>
          <w:bottom w:w="0" w:type="dxa"/>
          <w:right w:w="108" w:type="dxa"/>
        </w:tblCellMar>
      </w:tblPr>
      <w:tblGrid>
        <w:gridCol w:w="724"/>
        <w:gridCol w:w="3119"/>
        <w:gridCol w:w="1134"/>
        <w:gridCol w:w="1134"/>
        <w:gridCol w:w="1134"/>
        <w:gridCol w:w="1184"/>
      </w:tblGrid>
      <w:tr>
        <w:tblPrEx>
          <w:tblCellMar>
            <w:top w:w="0" w:type="dxa"/>
            <w:left w:w="108" w:type="dxa"/>
            <w:bottom w:w="0" w:type="dxa"/>
            <w:right w:w="108" w:type="dxa"/>
          </w:tblCellMar>
        </w:tblPrEx>
        <w:trPr>
          <w:trHeight w:val="289" w:hRule="atLeast"/>
          <w:tblHeader/>
        </w:trPr>
        <w:tc>
          <w:tcPr>
            <w:tcW w:w="72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序号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项目或费用名称</w:t>
            </w:r>
          </w:p>
        </w:tc>
        <w:tc>
          <w:tcPr>
            <w:tcW w:w="340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hint="eastAsia" w:ascii="宋体" w:hAnsi="宋体" w:eastAsia="仿宋_GB2312"/>
                <w:szCs w:val="21"/>
              </w:rPr>
              <w:t>概算价值（万元）</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合计</w:t>
            </w:r>
          </w:p>
        </w:tc>
      </w:tr>
      <w:tr>
        <w:tblPrEx>
          <w:tblCellMar>
            <w:top w:w="0" w:type="dxa"/>
            <w:left w:w="108" w:type="dxa"/>
            <w:bottom w:w="0" w:type="dxa"/>
            <w:right w:w="108" w:type="dxa"/>
          </w:tblCellMar>
        </w:tblPrEx>
        <w:trPr>
          <w:trHeight w:val="289" w:hRule="atLeast"/>
          <w:tblHeader/>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建筑工程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设备购置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安装工程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其他费用</w:t>
            </w: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szCs w:val="21"/>
              </w:rPr>
            </w:pP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一</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工程费用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29974.54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1103.48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7618.64</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38696.66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白山市医药高新产业园起步区（一期）第 1， 3宗地工程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22098.45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795.46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5648.23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28542.14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门卫一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3.98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17.98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危险品库、危废库一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84.04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18.86</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102.90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丙类库房一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1569.99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357.35</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1927.34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门卫二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27.07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12.21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39.28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612.85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135.56</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748.41</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丙类库房二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1106.98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240.45</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1347.43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841.65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164.01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1005.66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821.72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164.02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985.74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841.99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164.01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1006.00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丙类车间五</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822.12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164.01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986.13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锅炉房、辅助车间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243.25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108.49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351.74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568.45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100.22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668.67</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变电所、泵房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176.85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281.08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457.93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消防水池及生活水池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168.04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168.04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事故水池及生产污水池一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227.74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227.74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机修、备品备件库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95.82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23.28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119.10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丙类车间七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822.12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164.01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986.13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甲类车间一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1337.22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305.80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1643.02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综合楼</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787.81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162.44</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950.25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门卫三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26.41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12.21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38.62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甲类车间二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470.97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107.17</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578.14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甲类车间三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470.97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107.17</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578.14</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丙类库房三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960.05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268.51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1228.56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丙类库房四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960.05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211.02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1171.07</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甲类库房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126.56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34.50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161.06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危险品库、危废库二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102.93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30.29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133.22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甲类车间四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884.80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188.96</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1073.76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地埋乙醇储罐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127.61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127.61</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甲类车间五</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942.50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204.62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1147.12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污水处理站、废气处理站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125.37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31.03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156.40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事故水池及生产污水池二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416.63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416.63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门卫四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3.97</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17.36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设备购置费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795.46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14.71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810.17</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外网工程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5300.50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1864.29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7164.79</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白山市医药高新产业园起步区（一期）第 2宗地工程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7876.09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308.02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1970.41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10154.52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1#仓库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723.05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105.23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828.28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2#车间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3214.16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824.62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4038.78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3#门卫</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14.42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4#办公、宿舍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415.34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60.36</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475.70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5#食堂</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71.07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7.58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78.65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6#仓库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529.63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86.73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616.36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7#仓库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676.59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104.54</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781.13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8#门卫</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12.24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14.35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9#锅炉房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73.63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40.42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114.05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配套设施及外网工程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2148.07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723.13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2871.20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设备工程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308.02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13.58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321.60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二</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工程其他费用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5453.55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项目建设管理费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469.19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469.19</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可行性研究费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20.00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工程勘察费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90.48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90.48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工程设计费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656.25</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656.25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规划设计费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39.86</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39.86</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竣工图编制费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52.50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52.50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全过程工程造价咨询费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363.42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363.42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工程建设监理费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222.88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222.88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环境影响咨询服务费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11.75</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11.75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10</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节能评估费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5.88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5.88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劳动安全卫生费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116.09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116.09</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临时设施费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193.48</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193.48</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13</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工程保险费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91.22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91.22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招标代理服务费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24.45</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24.45</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15</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城市基础设施配套费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387.00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387.00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16</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防雷检测费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14.02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14.02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17</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消防设施配套费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63.71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63.71</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18</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施工图审查费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38.70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38.70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19</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水土保持方案编制费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81.63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81.63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20</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联合试运转费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11.03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11.03</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土地费用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2500.00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2500.00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三</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预备费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2207.51</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基本预备费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2207.51</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2207.51</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建设投资合计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46357.72</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四</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建设期利息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2576.10</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2576.10</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五</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流动资金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56.19</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56.19</w:t>
            </w:r>
          </w:p>
        </w:tc>
      </w:tr>
      <w:tr>
        <w:tblPrEx>
          <w:tblCellMar>
            <w:top w:w="0" w:type="dxa"/>
            <w:left w:w="108" w:type="dxa"/>
            <w:bottom w:w="0" w:type="dxa"/>
            <w:right w:w="108" w:type="dxa"/>
          </w:tblCellMar>
        </w:tblPrEx>
        <w:trPr>
          <w:trHeight w:val="291"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六</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总投资</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szCs w:val="21"/>
              </w:rPr>
            </w:pPr>
            <w:r>
              <w:rPr>
                <w:rFonts w:ascii="宋体" w:hAnsi="宋体" w:eastAsia="仿宋_GB2312"/>
                <w:szCs w:val="21"/>
              </w:rPr>
              <w:t>48990.01</w:t>
            </w:r>
          </w:p>
        </w:tc>
      </w:tr>
    </w:tbl>
    <w:p>
      <w:pPr>
        <w:numPr>
          <w:ilvl w:val="0"/>
          <w:numId w:val="2"/>
        </w:numPr>
        <w:ind w:firstLine="640"/>
        <w:outlineLvl w:val="1"/>
        <w:rPr>
          <w:rFonts w:hint="eastAsia" w:ascii="宋体" w:hAnsi="宋体" w:eastAsia="仿宋_GB2312" w:cs="仿宋_GB2312"/>
          <w:sz w:val="32"/>
          <w:szCs w:val="32"/>
          <w:lang w:val="en-US" w:eastAsia="zh-CN"/>
        </w:rPr>
      </w:pPr>
      <w:bookmarkStart w:id="4" w:name="_Toc16490"/>
      <w:bookmarkStart w:id="5" w:name="_Toc19856"/>
      <w:r>
        <w:rPr>
          <w:rFonts w:hint="eastAsia" w:ascii="宋体" w:hAnsi="宋体" w:eastAsia="仿宋_GB2312" w:cs="仿宋_GB2312"/>
          <w:sz w:val="32"/>
          <w:szCs w:val="32"/>
          <w:lang w:val="en-US" w:eastAsia="zh-CN"/>
        </w:rPr>
        <w:t>项目绩效目标</w:t>
      </w:r>
      <w:bookmarkEnd w:id="4"/>
      <w:bookmarkEnd w:id="5"/>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项目总体目标：新建建筑面积为12.74万㎡（分二块地，1、3宗地建筑面积为95,857.79万㎡，2宗地建筑面积为31,571.01万㎡）。主要新建标准化厂房、附属用房、供热站及相关配套的公用工程。</w:t>
      </w:r>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阶段性目标：完成专项债券项目按计划完成工程建设内容，工程部分投资19428.76万元。</w:t>
      </w:r>
    </w:p>
    <w:p>
      <w:pPr>
        <w:ind w:firstLine="640"/>
        <w:outlineLvl w:val="0"/>
        <w:rPr>
          <w:rFonts w:hint="eastAsia" w:ascii="宋体" w:hAnsi="宋体" w:eastAsia="仿宋_GB2312" w:cs="仿宋_GB2312"/>
          <w:sz w:val="32"/>
          <w:szCs w:val="32"/>
          <w:lang w:val="en-US" w:eastAsia="zh-CN"/>
        </w:rPr>
      </w:pPr>
      <w:bookmarkStart w:id="6" w:name="_Toc10732"/>
      <w:bookmarkStart w:id="7" w:name="_Toc31605"/>
      <w:r>
        <w:rPr>
          <w:rFonts w:hint="eastAsia" w:ascii="宋体" w:hAnsi="宋体" w:eastAsia="黑体" w:cs="黑体"/>
          <w:sz w:val="32"/>
          <w:szCs w:val="32"/>
          <w:lang w:val="en-US" w:eastAsia="zh-CN"/>
        </w:rPr>
        <w:t>二、绩效评价工作开展情况</w:t>
      </w:r>
      <w:bookmarkEnd w:id="6"/>
      <w:bookmarkEnd w:id="7"/>
    </w:p>
    <w:p>
      <w:pPr>
        <w:ind w:firstLine="640"/>
        <w:outlineLvl w:val="1"/>
        <w:rPr>
          <w:rFonts w:hint="eastAsia" w:ascii="宋体" w:hAnsi="宋体" w:eastAsia="仿宋_GB2312" w:cs="仿宋_GB2312"/>
          <w:sz w:val="32"/>
          <w:szCs w:val="32"/>
          <w:lang w:val="en-US" w:eastAsia="zh-CN"/>
        </w:rPr>
      </w:pPr>
      <w:bookmarkStart w:id="8" w:name="_Toc10564"/>
      <w:bookmarkStart w:id="9" w:name="_Toc30146"/>
      <w:r>
        <w:rPr>
          <w:rFonts w:hint="eastAsia" w:ascii="宋体" w:hAnsi="宋体" w:eastAsia="仿宋_GB2312" w:cs="仿宋_GB2312"/>
          <w:sz w:val="32"/>
          <w:szCs w:val="32"/>
          <w:lang w:val="en-US" w:eastAsia="zh-CN"/>
        </w:rPr>
        <w:t>（一）绩效评价目标、对象和范围</w:t>
      </w:r>
      <w:bookmarkEnd w:id="8"/>
      <w:bookmarkEnd w:id="9"/>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1、绩效评价目标</w:t>
      </w:r>
    </w:p>
    <w:p>
      <w:p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财政专项债项目绩效评价旨在通过专项债资金的绩效评价，建立科学、合理的地方政府专项债券项目绩效评价管理体系，发挥专项债券资金促进稳投资、扩内需、补短板的积极作用。本次绩效评价的目标是运用科学合理的绩效评价指标、评价标准和评价方法，以期对白山市专项债券项目前期准备、发行使用、运营管理、效益效果及全生命周期的经济性、效率性、效益性进行客观、公正的测量、分析和评判。</w:t>
      </w:r>
    </w:p>
    <w:p>
      <w:pPr>
        <w:numPr>
          <w:ilvl w:val="0"/>
          <w:numId w:val="3"/>
        </w:numPr>
        <w:ind w:firstLine="64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绩效评价对象及范围</w:t>
      </w:r>
    </w:p>
    <w:p>
      <w:pPr>
        <w:numPr>
          <w:ilvl w:val="0"/>
          <w:numId w:val="0"/>
        </w:numPr>
        <w:ind w:firstLine="640" w:firstLineChars="200"/>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本次专项债绩效评价的对象是白山市医药高新产业园起步区建设项目（一期），涉及建设区域范围是新建建筑面积为12.74万㎡（分二块地，1、3宗地建筑面积为95,857.79万㎡，2宗地建筑面积为31,571.01万㎡）。主要新建标准化厂房、附属用房、供热站及相关配套的公用工程，项目资金48,990.01万元。</w:t>
      </w:r>
    </w:p>
    <w:p>
      <w:pPr>
        <w:numPr>
          <w:ilvl w:val="0"/>
          <w:numId w:val="0"/>
        </w:numPr>
        <w:ind w:left="640" w:leftChars="0"/>
        <w:outlineLvl w:val="1"/>
        <w:rPr>
          <w:rFonts w:hint="default" w:ascii="宋体" w:hAnsi="宋体" w:eastAsia="仿宋_GB2312" w:cs="仿宋_GB2312"/>
          <w:sz w:val="32"/>
          <w:szCs w:val="32"/>
          <w:lang w:val="en-US" w:eastAsia="zh-CN"/>
        </w:rPr>
      </w:pPr>
      <w:bookmarkStart w:id="10" w:name="_Toc26739"/>
      <w:bookmarkStart w:id="11" w:name="_Toc25204"/>
      <w:r>
        <w:rPr>
          <w:rFonts w:hint="eastAsia" w:ascii="宋体" w:hAnsi="宋体" w:eastAsia="仿宋_GB2312" w:cs="仿宋_GB2312"/>
          <w:sz w:val="32"/>
          <w:szCs w:val="32"/>
          <w:lang w:val="en-US" w:eastAsia="zh-CN"/>
        </w:rPr>
        <w:t>（二）绩效评价原则、评价指标体系、评价方法、评价标准</w:t>
      </w:r>
      <w:bookmarkEnd w:id="10"/>
      <w:bookmarkEnd w:id="11"/>
    </w:p>
    <w:p>
      <w:pPr>
        <w:numPr>
          <w:ilvl w:val="0"/>
          <w:numId w:val="4"/>
        </w:numPr>
        <w:ind w:left="640" w:leftChars="0" w:firstLine="320" w:firstLineChars="1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绩效评价原则</w:t>
      </w:r>
    </w:p>
    <w:p>
      <w:pPr>
        <w:numPr>
          <w:ilvl w:val="0"/>
          <w:numId w:val="0"/>
        </w:numPr>
        <w:ind w:leftChars="100"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本次绩效评价秉持公平、公正、公开，规范合理的基本原则，从项目的决策、过程、产出及效益的逻辑体系，与白山市医药高新产业园起步区建设项目（一期）实际实施推进相结合，采用定量与定性相结合的方式对该项目做出绩效评价，反思项目实施和管理中的问题，以切实可以提升财政专项债券资金管理的科学化、规范化和精细化水平。</w:t>
      </w:r>
    </w:p>
    <w:p>
      <w:pPr>
        <w:numPr>
          <w:ilvl w:val="0"/>
          <w:numId w:val="4"/>
        </w:numPr>
        <w:ind w:left="640" w:leftChars="0" w:firstLine="320" w:firstLineChars="1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评价指标体系</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本项目指标体系的设计依照《中共中央国务院关于全面实施预算绩效管理的意见》（中发〔2018〕34号），《项目支出绩效评价管理办法》（财预〔2020〕10 号），</w:t>
      </w:r>
      <w:r>
        <w:rPr>
          <w:rFonts w:hint="eastAsia" w:ascii="宋体" w:hAnsi="宋体" w:eastAsia="仿宋_GB2312" w:cs="仿宋_GB2312"/>
          <w:sz w:val="32"/>
          <w:szCs w:val="32"/>
          <w:highlight w:val="none"/>
          <w:lang w:val="en-US" w:eastAsia="zh-CN"/>
        </w:rPr>
        <w:t>《吉林省地方政府专项债券项目资金绩效管理办法（试行）》</w:t>
      </w:r>
      <w:r>
        <w:rPr>
          <w:rFonts w:hint="default" w:ascii="宋体" w:hAnsi="宋体" w:eastAsia="仿宋_GB2312" w:cs="仿宋_GB2312"/>
          <w:sz w:val="32"/>
          <w:szCs w:val="32"/>
          <w:highlight w:val="none"/>
          <w:lang w:val="en-US" w:eastAsia="zh-CN"/>
        </w:rPr>
        <w:t>（财预〔202</w:t>
      </w:r>
      <w:r>
        <w:rPr>
          <w:rFonts w:hint="eastAsia" w:ascii="宋体" w:hAnsi="宋体" w:eastAsia="仿宋_GB2312" w:cs="仿宋_GB2312"/>
          <w:sz w:val="32"/>
          <w:szCs w:val="32"/>
          <w:highlight w:val="none"/>
          <w:lang w:val="en-US" w:eastAsia="zh-CN"/>
        </w:rPr>
        <w:t>1</w:t>
      </w:r>
      <w:r>
        <w:rPr>
          <w:rFonts w:hint="default" w:ascii="宋体" w:hAnsi="宋体" w:eastAsia="仿宋_GB2312" w:cs="仿宋_GB2312"/>
          <w:sz w:val="32"/>
          <w:szCs w:val="32"/>
          <w:highlight w:val="none"/>
          <w:lang w:val="en-US" w:eastAsia="zh-CN"/>
        </w:rPr>
        <w:t>〕10</w:t>
      </w:r>
      <w:r>
        <w:rPr>
          <w:rFonts w:hint="eastAsia" w:ascii="宋体" w:hAnsi="宋体" w:eastAsia="仿宋_GB2312" w:cs="仿宋_GB2312"/>
          <w:sz w:val="32"/>
          <w:szCs w:val="32"/>
          <w:highlight w:val="none"/>
          <w:lang w:val="en-US" w:eastAsia="zh-CN"/>
        </w:rPr>
        <w:t>44</w:t>
      </w:r>
      <w:r>
        <w:rPr>
          <w:rFonts w:hint="default" w:ascii="宋体" w:hAnsi="宋体" w:eastAsia="仿宋_GB2312" w:cs="仿宋_GB2312"/>
          <w:sz w:val="32"/>
          <w:szCs w:val="32"/>
          <w:highlight w:val="none"/>
          <w:lang w:val="en-US" w:eastAsia="zh-CN"/>
        </w:rPr>
        <w:t xml:space="preserve"> 号）</w:t>
      </w: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遵从科学公正，统筹兼顾，激励约束，公开透明四项基本原则，从项目决策、项目过程、项目产出、项目效益四个维度出发，以财务、业务两条主线为线索，科学、客观、全面的对预算单位的决策情况，资金管理及使用情况，相关管理制度办法的健全性及执行情况，实现的产出情况，取得的效益情况及其他相关内容进行分析</w:t>
      </w:r>
      <w:r>
        <w:rPr>
          <w:rFonts w:hint="eastAsia" w:ascii="宋体" w:hAnsi="宋体" w:eastAsia="仿宋_GB2312" w:cs="仿宋_GB2312"/>
          <w:sz w:val="32"/>
          <w:szCs w:val="32"/>
          <w:highlight w:val="none"/>
          <w:lang w:val="en-US" w:eastAsia="zh-CN"/>
        </w:rPr>
        <w:t>。</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default" w:ascii="宋体" w:hAnsi="宋体" w:eastAsia="仿宋_GB2312" w:cs="仿宋_GB2312"/>
          <w:sz w:val="32"/>
          <w:szCs w:val="32"/>
          <w:highlight w:val="none"/>
          <w:lang w:val="en-US" w:eastAsia="zh-CN"/>
        </w:rPr>
        <w:t>本次绩效评价结果采取评分和评级相结合的方式，根据</w:t>
      </w:r>
      <w:r>
        <w:rPr>
          <w:rFonts w:hint="eastAsia" w:ascii="宋体" w:hAnsi="宋体" w:eastAsia="仿宋_GB2312" w:cs="仿宋_GB2312"/>
          <w:sz w:val="32"/>
          <w:szCs w:val="32"/>
          <w:highlight w:val="none"/>
          <w:lang w:val="en-US" w:eastAsia="zh-CN"/>
        </w:rPr>
        <w:t>《吉林省地方政府专项债券想资金绩效管理办法（试行）》</w:t>
      </w:r>
      <w:r>
        <w:rPr>
          <w:rFonts w:hint="default" w:ascii="宋体" w:hAnsi="宋体" w:eastAsia="仿宋_GB2312" w:cs="仿宋_GB2312"/>
          <w:sz w:val="32"/>
          <w:szCs w:val="32"/>
          <w:highlight w:val="none"/>
          <w:lang w:val="en-US" w:eastAsia="zh-CN"/>
        </w:rPr>
        <w:t>，具体分值和等级根据不同评价内容设定。总分设置为100分，等级划分为四档：90（含）-100分为优、80（含）-90分为良、60（含）-80分为中、60分以下为差</w:t>
      </w:r>
      <w:r>
        <w:rPr>
          <w:rFonts w:hint="eastAsia" w:ascii="宋体" w:hAnsi="宋体" w:eastAsia="仿宋_GB2312" w:cs="仿宋_GB2312"/>
          <w:sz w:val="32"/>
          <w:szCs w:val="32"/>
          <w:highlight w:val="none"/>
          <w:lang w:val="en-US" w:eastAsia="zh-CN"/>
        </w:rPr>
        <w:t>。</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评价标准是依据绩效评价基本原理，分别按照计划标准、历史标准、通用标准等制定，分为定性指标和定量指标。</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对于定性指标，一般通过访谈等方式采集相关数据，在实施过程中运用要素考核法进行考核。</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定量指标是可以准确数量定义、精确衡量并能设定绩效目标的考核指标。在定量评价指标体系中，各指标的评价基准值是衡量该项指标是否符合生产基本要求的评价基准，并通过公式等方式予以量化。</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本项目设一级指标4项，二级指标14项、三级指标27项。</w:t>
      </w:r>
    </w:p>
    <w:p>
      <w:pPr>
        <w:numPr>
          <w:ilvl w:val="0"/>
          <w:numId w:val="0"/>
        </w:numPr>
        <w:ind w:leftChars="100" w:firstLine="640" w:firstLineChars="200"/>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项目指标数据来源于项目相关资料、内部财务相关资料、基础数据表、访谈、问卷调查等。本次绩效评价指标具体内容，包括指标名称、权重、指标解释、指标公式、目标值、目标值来源、评分标准、数据来源等。具体指标体系详见附表1。</w:t>
      </w:r>
    </w:p>
    <w:p>
      <w:pPr>
        <w:numPr>
          <w:ilvl w:val="0"/>
          <w:numId w:val="4"/>
        </w:numPr>
        <w:ind w:left="640" w:leftChars="0" w:firstLine="320" w:firstLineChars="1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评价方法</w:t>
      </w:r>
    </w:p>
    <w:p>
      <w:pPr>
        <w:numPr>
          <w:ilvl w:val="0"/>
          <w:numId w:val="0"/>
        </w:numPr>
        <w:ind w:leftChars="100"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本项目绩效评估方法主要采用访谈调查法及专家评估法。根据评价对象的具体情况，可以上述两种方法对本项目进行绩效评价，具体情况如下：</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（1）访谈调查法</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本次绩效评估访谈调研工作采取面对面现场访谈、电话访谈、微信访谈的方式，获取白山市医药高新产业园起步区建设项目（一期）决策、管理、产出及效益指标的项目基本信息。</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（2）专家评估法</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本次绩效评估专家评估法，为了保持项目的严谨性，实行专家评审会现场打分的方式，以《专项债券项目绩效评价指标体系》为依据，对项目的实施的决策、管理、产出及效益指标进行合理且公正的判断。</w:t>
      </w:r>
    </w:p>
    <w:p>
      <w:pPr>
        <w:numPr>
          <w:ilvl w:val="0"/>
          <w:numId w:val="2"/>
        </w:numPr>
        <w:ind w:left="0" w:leftChars="0" w:firstLine="640" w:firstLineChars="0"/>
        <w:outlineLvl w:val="1"/>
        <w:rPr>
          <w:rFonts w:hint="eastAsia" w:ascii="宋体" w:hAnsi="宋体" w:eastAsia="仿宋_GB2312" w:cs="仿宋_GB2312"/>
          <w:sz w:val="32"/>
          <w:szCs w:val="32"/>
          <w:highlight w:val="none"/>
          <w:lang w:val="en-US" w:eastAsia="zh-CN"/>
        </w:rPr>
      </w:pPr>
      <w:bookmarkStart w:id="12" w:name="_Toc4285"/>
      <w:bookmarkStart w:id="13" w:name="_Toc25332"/>
      <w:r>
        <w:rPr>
          <w:rFonts w:hint="eastAsia" w:ascii="宋体" w:hAnsi="宋体" w:eastAsia="仿宋_GB2312" w:cs="仿宋_GB2312"/>
          <w:sz w:val="32"/>
          <w:szCs w:val="32"/>
          <w:lang w:val="en-US" w:eastAsia="zh-CN"/>
        </w:rPr>
        <w:t>绩效评</w:t>
      </w:r>
      <w:r>
        <w:rPr>
          <w:rFonts w:hint="eastAsia" w:ascii="宋体" w:hAnsi="宋体" w:eastAsia="仿宋_GB2312" w:cs="仿宋_GB2312"/>
          <w:sz w:val="32"/>
          <w:szCs w:val="32"/>
          <w:highlight w:val="none"/>
          <w:lang w:val="en-US" w:eastAsia="zh-CN"/>
        </w:rPr>
        <w:t>价工作过程。</w:t>
      </w:r>
      <w:bookmarkEnd w:id="12"/>
      <w:bookmarkEnd w:id="13"/>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本次绩效评估时间具体为2022年5月5日-2022年5月31日，具体实施过程如下所示：</w:t>
      </w:r>
    </w:p>
    <w:p>
      <w:pPr>
        <w:numPr>
          <w:ilvl w:val="0"/>
          <w:numId w:val="0"/>
        </w:numPr>
        <w:ind w:left="640" w:left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1）文件需求表资料采集</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2022年5月5日-2022年5月8日，我司制定文件需求表，引导项目单位对双辽经济开发区医药产业园区及配套基础设施建设项目的进一步深化微观了解，同时通过文件需求表将项目单位的相关信息结构化，可以更好地了解项目实施的必要性、公益性、收益性，项目的成熟度，项目资金来源和到位可行性，项目收入、成本、收益预测合理性，债券资金需求合理性及制定绩效目标的合理性等指标，为项目评价提供一定的文件资料基础支持。</w:t>
      </w:r>
    </w:p>
    <w:p>
      <w:pPr>
        <w:numPr>
          <w:ilvl w:val="0"/>
          <w:numId w:val="0"/>
        </w:numPr>
        <w:ind w:left="640" w:left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2）访谈</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2022年5月9日，根据项目要求，我司与项目单位相关领导进行了访谈，访谈主要针对项目立项、预算安排及申报流程、业务管理流程、财务监管制度等方面的实际情况；在项目资金运行推进过程中面临的困难及建议。 </w:t>
      </w:r>
    </w:p>
    <w:p>
      <w:pPr>
        <w:numPr>
          <w:ilvl w:val="0"/>
          <w:numId w:val="0"/>
        </w:numPr>
        <w:ind w:left="640" w:left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3）数据回收          </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2022年5月10日-2022年5月12日，通过双辽经济开发区医药产业园区及配套基础设施建设项目相关负责人进行访谈，梳理访谈结果，获取项目基本情况、项目实施情况、项目管理情况等方面的数据。</w:t>
      </w:r>
    </w:p>
    <w:p>
      <w:pPr>
        <w:numPr>
          <w:ilvl w:val="0"/>
          <w:numId w:val="0"/>
        </w:numPr>
        <w:ind w:left="640" w:left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4）专家评估</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2022年5月13日-2022年5月14日，为加强地方政府专项债券项目资金绩效管理，提高专项债券资金使用效益，有效防范政府债务风险，根据《中华人民共和国预算法》、《中华人民共和国预算法实施条例》、《中共中央国务院关于全面实施预算绩效管理的意见》、《国务院关于进一步深化预算管理制度改革的意见》、《项目支出绩效评价管理办法》、《项目支出绩效评估管理办法》（财预〔2020〕10号）、《地方政府专项债券项目资金绩效管理办法》等政策性文件及项目单位访谈等评估依据邀请专家针对本项目进行专家评估。</w:t>
      </w:r>
    </w:p>
    <w:p>
      <w:pPr>
        <w:numPr>
          <w:ilvl w:val="0"/>
          <w:numId w:val="0"/>
        </w:numPr>
        <w:ind w:left="640" w:left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5）数据分析及撰写报告</w:t>
      </w:r>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2022年5月15日-2022年5月31日，我司根据绩效评价的原理，对采集的数据进行甄别、分析和评分，并提炼核心内容撰写报告，在规定时间内事前绩效评估报告。</w:t>
      </w:r>
    </w:p>
    <w:p>
      <w:pPr>
        <w:numPr>
          <w:ilvl w:val="0"/>
          <w:numId w:val="5"/>
        </w:numPr>
        <w:ind w:firstLine="640"/>
        <w:outlineLvl w:val="0"/>
        <w:rPr>
          <w:rFonts w:hint="eastAsia" w:ascii="宋体" w:hAnsi="宋体" w:eastAsia="仿宋_GB2312" w:cs="仿宋_GB2312"/>
          <w:sz w:val="32"/>
          <w:szCs w:val="32"/>
          <w:lang w:val="en-US" w:eastAsia="zh-CN"/>
        </w:rPr>
      </w:pPr>
      <w:bookmarkStart w:id="14" w:name="_Toc15394"/>
      <w:bookmarkStart w:id="15" w:name="_Toc21316"/>
      <w:r>
        <w:rPr>
          <w:rFonts w:hint="eastAsia" w:ascii="宋体" w:hAnsi="宋体" w:eastAsia="黑体" w:cs="黑体"/>
          <w:sz w:val="32"/>
          <w:szCs w:val="32"/>
          <w:lang w:val="en-US" w:eastAsia="zh-CN"/>
        </w:rPr>
        <w:t>综合评价情况及评论结论</w:t>
      </w:r>
      <w:bookmarkEnd w:id="14"/>
      <w:bookmarkEnd w:id="15"/>
    </w:p>
    <w:p>
      <w:pPr>
        <w:numPr>
          <w:ilvl w:val="0"/>
          <w:numId w:val="0"/>
        </w:numPr>
        <w:ind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我司评价组根据制定的绩效评价指标体系及标准，通过访谈、问卷调查基础数据表等方式结合白山市浑江区经开建设发展有限公司实际情况进行客观绩效评价，得出如下结论：绩效评价满分100分，本项目绩效评</w:t>
      </w:r>
      <w:r>
        <w:rPr>
          <w:rFonts w:hint="eastAsia" w:ascii="宋体" w:hAnsi="宋体" w:eastAsia="仿宋_GB2312" w:cs="仿宋_GB2312"/>
          <w:sz w:val="32"/>
          <w:szCs w:val="32"/>
          <w:highlight w:val="none"/>
          <w:lang w:val="en-US" w:eastAsia="zh-CN"/>
        </w:rPr>
        <w:t>价得分83.23分，得分率“83.23%”，绩效评价等级为“良”。绩效具体评价</w:t>
      </w:r>
      <w:r>
        <w:rPr>
          <w:rFonts w:hint="eastAsia" w:ascii="宋体" w:hAnsi="宋体" w:eastAsia="仿宋_GB2312" w:cs="仿宋_GB2312"/>
          <w:sz w:val="32"/>
          <w:szCs w:val="32"/>
          <w:lang w:val="en-US" w:eastAsia="zh-CN"/>
        </w:rPr>
        <w:t>得分详见附表1，本项目具体得分情况详见表3-1。</w:t>
      </w:r>
    </w:p>
    <w:p>
      <w:pPr>
        <w:numPr>
          <w:ilvl w:val="0"/>
          <w:numId w:val="0"/>
        </w:numPr>
        <w:ind w:firstLine="640" w:firstLineChars="200"/>
        <w:jc w:val="center"/>
        <w:rPr>
          <w:rFonts w:hint="eastAsia" w:ascii="宋体" w:hAnsi="宋体" w:eastAsia="方正小标宋简体" w:cs="方正小标宋简体"/>
          <w:sz w:val="32"/>
          <w:szCs w:val="32"/>
          <w:lang w:val="en-US" w:eastAsia="zh-CN"/>
        </w:rPr>
      </w:pPr>
      <w:r>
        <w:rPr>
          <w:rFonts w:hint="eastAsia" w:ascii="宋体" w:hAnsi="宋体" w:eastAsia="方正小标宋简体" w:cs="方正小标宋简体"/>
          <w:sz w:val="32"/>
          <w:szCs w:val="32"/>
          <w:lang w:val="en-US" w:eastAsia="zh-CN"/>
        </w:rPr>
        <w:t>表3-1 白山市医药高新产业园起步区</w:t>
      </w:r>
    </w:p>
    <w:p>
      <w:pPr>
        <w:numPr>
          <w:ilvl w:val="0"/>
          <w:numId w:val="0"/>
        </w:numPr>
        <w:ind w:firstLine="640" w:firstLineChars="200"/>
        <w:jc w:val="center"/>
        <w:rPr>
          <w:rFonts w:hint="eastAsia" w:ascii="宋体" w:hAnsi="宋体" w:eastAsia="方正小标宋简体" w:cs="方正小标宋简体"/>
          <w:sz w:val="32"/>
          <w:szCs w:val="32"/>
          <w:lang w:val="en-US" w:eastAsia="zh-CN"/>
        </w:rPr>
      </w:pPr>
      <w:r>
        <w:rPr>
          <w:rFonts w:hint="eastAsia" w:ascii="宋体" w:hAnsi="宋体" w:eastAsia="方正小标宋简体" w:cs="方正小标宋简体"/>
          <w:sz w:val="32"/>
          <w:szCs w:val="32"/>
          <w:lang w:val="en-US" w:eastAsia="zh-CN"/>
        </w:rPr>
        <w:t>建设项目（一期）得分情况</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084"/>
        <w:gridCol w:w="1171"/>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705" w:type="pct"/>
            <w:shd w:val="clear" w:color="000000" w:fill="auto"/>
            <w:noWrap w:val="0"/>
            <w:vAlign w:val="center"/>
          </w:tcPr>
          <w:p>
            <w:pPr>
              <w:pStyle w:val="6"/>
              <w:rPr>
                <w:rFonts w:ascii="宋体" w:hAnsi="宋体" w:eastAsia="仿宋" w:cs="Times New Roman"/>
                <w:b/>
                <w:bCs w:val="0"/>
              </w:rPr>
            </w:pPr>
            <w:r>
              <w:rPr>
                <w:rFonts w:ascii="宋体" w:hAnsi="宋体" w:eastAsia="仿宋" w:cs="Times New Roman"/>
                <w:b/>
                <w:bCs w:val="0"/>
              </w:rPr>
              <w:t>指标</w:t>
            </w:r>
          </w:p>
        </w:tc>
        <w:tc>
          <w:tcPr>
            <w:tcW w:w="636" w:type="pct"/>
            <w:shd w:val="clear" w:color="000000" w:fill="auto"/>
            <w:noWrap w:val="0"/>
            <w:vAlign w:val="center"/>
          </w:tcPr>
          <w:p>
            <w:pPr>
              <w:pStyle w:val="6"/>
              <w:rPr>
                <w:rFonts w:ascii="宋体" w:hAnsi="宋体" w:eastAsia="仿宋" w:cs="Times New Roman"/>
                <w:b/>
                <w:bCs w:val="0"/>
              </w:rPr>
            </w:pPr>
            <w:r>
              <w:rPr>
                <w:rFonts w:ascii="宋体" w:hAnsi="宋体" w:eastAsia="仿宋" w:cs="Times New Roman"/>
                <w:b/>
                <w:bCs w:val="0"/>
                <w:lang w:val="en-US"/>
              </w:rPr>
              <w:t>权重</w:t>
            </w:r>
          </w:p>
        </w:tc>
        <w:tc>
          <w:tcPr>
            <w:tcW w:w="687" w:type="pct"/>
            <w:shd w:val="clear" w:color="000000" w:fill="auto"/>
            <w:noWrap w:val="0"/>
            <w:vAlign w:val="center"/>
          </w:tcPr>
          <w:p>
            <w:pPr>
              <w:pStyle w:val="6"/>
              <w:rPr>
                <w:rFonts w:ascii="宋体" w:hAnsi="宋体" w:eastAsia="仿宋" w:cs="Times New Roman"/>
                <w:b/>
                <w:bCs w:val="0"/>
              </w:rPr>
            </w:pPr>
            <w:r>
              <w:rPr>
                <w:rFonts w:ascii="宋体" w:hAnsi="宋体" w:eastAsia="仿宋" w:cs="Times New Roman"/>
                <w:b/>
                <w:bCs w:val="0"/>
                <w:lang w:val="en-US"/>
              </w:rPr>
              <w:t>得分</w:t>
            </w:r>
          </w:p>
        </w:tc>
        <w:tc>
          <w:tcPr>
            <w:tcW w:w="971" w:type="pct"/>
            <w:shd w:val="clear" w:color="000000" w:fill="auto"/>
            <w:noWrap w:val="0"/>
            <w:vAlign w:val="center"/>
          </w:tcPr>
          <w:p>
            <w:pPr>
              <w:pStyle w:val="6"/>
              <w:rPr>
                <w:rFonts w:ascii="宋体" w:hAnsi="宋体" w:eastAsia="仿宋" w:cs="Times New Roman"/>
                <w:b/>
                <w:bCs w:val="0"/>
              </w:rPr>
            </w:pPr>
            <w:r>
              <w:rPr>
                <w:rFonts w:ascii="宋体" w:hAnsi="宋体" w:eastAsia="仿宋" w:cs="Times New Roman"/>
                <w:b/>
                <w:bCs w:val="0"/>
                <w:lang w:val="en-US"/>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A 项目决策</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24.00</w:t>
            </w:r>
          </w:p>
        </w:tc>
        <w:tc>
          <w:tcPr>
            <w:tcW w:w="1171"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 xml:space="preserve">22.13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hint="eastAsia" w:ascii="宋体" w:hAnsi="宋体" w:eastAsia="仿宋" w:cs="Times New Roman"/>
                <w:lang w:eastAsia="zh-CN" w:bidi="ar"/>
              </w:rPr>
            </w:pPr>
            <w:r>
              <w:rPr>
                <w:rFonts w:ascii="宋体" w:hAnsi="宋体" w:eastAsia="仿宋" w:cs="Times New Roman"/>
                <w:lang w:bidi="ar"/>
              </w:rPr>
              <w:t>A1 项目</w:t>
            </w:r>
            <w:r>
              <w:rPr>
                <w:rFonts w:hint="eastAsia" w:ascii="宋体" w:hAnsi="宋体" w:eastAsia="仿宋" w:cs="Times New Roman"/>
                <w:lang w:eastAsia="zh-CN" w:bidi="ar"/>
              </w:rPr>
              <w:t>程序规范性</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7.00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5.13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73.29%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hint="eastAsia" w:ascii="宋体" w:hAnsi="宋体" w:eastAsia="仿宋" w:cs="Times New Roman"/>
                <w:lang w:eastAsia="zh-CN" w:bidi="ar"/>
              </w:rPr>
            </w:pPr>
            <w:r>
              <w:rPr>
                <w:rFonts w:ascii="宋体" w:hAnsi="宋体" w:eastAsia="仿宋" w:cs="Times New Roman"/>
                <w:lang w:val="en-US" w:bidi="ar"/>
              </w:rPr>
              <w:t xml:space="preserve">A2 </w:t>
            </w:r>
            <w:r>
              <w:rPr>
                <w:rFonts w:ascii="宋体" w:hAnsi="宋体" w:eastAsia="仿宋" w:cs="Times New Roman"/>
                <w:lang w:bidi="ar"/>
              </w:rPr>
              <w:t>绩效</w:t>
            </w:r>
            <w:r>
              <w:rPr>
                <w:rFonts w:hint="eastAsia" w:ascii="宋体" w:hAnsi="宋体" w:eastAsia="仿宋" w:cs="Times New Roman"/>
                <w:lang w:eastAsia="zh-CN" w:bidi="ar"/>
              </w:rPr>
              <w:t>目标设定合理及明确性</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10.00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hint="eastAsia" w:ascii="宋体" w:hAnsi="宋体" w:eastAsia="仿宋" w:cs="Times New Roman"/>
                <w:lang w:val="en-US" w:eastAsia="zh-CN" w:bidi="ar"/>
              </w:rPr>
            </w:pPr>
            <w:r>
              <w:rPr>
                <w:rFonts w:ascii="宋体" w:hAnsi="宋体" w:eastAsia="仿宋" w:cs="Times New Roman"/>
                <w:lang w:val="en-US" w:bidi="ar"/>
              </w:rPr>
              <w:t xml:space="preserve">A3 </w:t>
            </w:r>
            <w:r>
              <w:rPr>
                <w:rFonts w:hint="eastAsia" w:ascii="宋体" w:hAnsi="宋体" w:eastAsia="仿宋" w:cs="Times New Roman"/>
                <w:lang w:val="en-US" w:eastAsia="zh-CN" w:bidi="ar"/>
              </w:rPr>
              <w:t>平衡方案的科学性及资金分配的合理性</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7.00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7.00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hint="eastAsia" w:ascii="宋体" w:hAnsi="宋体" w:eastAsia="仿宋" w:cs="Times New Roman"/>
                <w:lang w:val="en-US" w:eastAsia="zh-CN" w:bidi="ar"/>
              </w:rPr>
            </w:pPr>
            <w:r>
              <w:rPr>
                <w:rFonts w:ascii="宋体" w:hAnsi="宋体" w:eastAsia="仿宋" w:cs="Times New Roman"/>
                <w:lang w:val="en-US" w:bidi="ar"/>
              </w:rPr>
              <w:t>B 项目</w:t>
            </w:r>
            <w:r>
              <w:rPr>
                <w:rFonts w:hint="eastAsia" w:ascii="宋体" w:hAnsi="宋体" w:eastAsia="仿宋" w:cs="Times New Roman"/>
                <w:lang w:val="en-US" w:eastAsia="zh-CN" w:bidi="ar"/>
              </w:rPr>
              <w:t>管理</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16.00</w:t>
            </w:r>
          </w:p>
        </w:tc>
        <w:tc>
          <w:tcPr>
            <w:tcW w:w="1171"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 xml:space="preserve">13.10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 xml:space="preserve">B1 </w:t>
            </w:r>
            <w:r>
              <w:rPr>
                <w:rFonts w:hint="eastAsia" w:ascii="宋体" w:hAnsi="宋体" w:eastAsia="仿宋" w:cs="Times New Roman"/>
                <w:lang w:val="en-US" w:bidi="ar"/>
              </w:rPr>
              <w:t>新增地方政府专项债券资金管理制度健全性及组织实施有效性</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8.00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 xml:space="preserve">B2 </w:t>
            </w:r>
            <w:r>
              <w:rPr>
                <w:rFonts w:hint="eastAsia" w:ascii="宋体" w:hAnsi="宋体" w:eastAsia="仿宋" w:cs="Times New Roman"/>
                <w:lang w:val="en-US" w:bidi="ar"/>
              </w:rPr>
              <w:t>新增地方政府专项债券资金使用情况</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8.00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7.10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C 项目产出</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36.00</w:t>
            </w:r>
          </w:p>
        </w:tc>
        <w:tc>
          <w:tcPr>
            <w:tcW w:w="1171"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 xml:space="preserve">30.00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C1 产出数量</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9.00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7.50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C2 产出质量</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9.00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7.50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C3 产出时效</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9.00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6.50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C4 产出成本</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9.00</w:t>
            </w:r>
          </w:p>
        </w:tc>
        <w:tc>
          <w:tcPr>
            <w:tcW w:w="1171" w:type="dxa"/>
            <w:noWrap w:val="0"/>
            <w:vAlign w:val="bottom"/>
          </w:tcPr>
          <w:p>
            <w:pPr>
              <w:keepNext w:val="0"/>
              <w:keepLines w:val="0"/>
              <w:widowControl/>
              <w:suppressLineNumbers w:val="0"/>
              <w:jc w:val="center"/>
              <w:textAlignment w:val="bottom"/>
              <w:rPr>
                <w:rFonts w:hint="default"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8.50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D 项目效益</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24.00</w:t>
            </w:r>
          </w:p>
        </w:tc>
        <w:tc>
          <w:tcPr>
            <w:tcW w:w="1171"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D1 社会效益</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5.00</w:t>
            </w:r>
          </w:p>
        </w:tc>
        <w:tc>
          <w:tcPr>
            <w:tcW w:w="1171" w:type="dxa"/>
            <w:noWrap w:val="0"/>
            <w:vAlign w:val="bottom"/>
          </w:tcPr>
          <w:p>
            <w:pPr>
              <w:keepNext w:val="0"/>
              <w:keepLines w:val="0"/>
              <w:widowControl/>
              <w:suppressLineNumbers w:val="0"/>
              <w:jc w:val="center"/>
              <w:textAlignment w:val="bottom"/>
              <w:rPr>
                <w:rFonts w:hint="eastAsia"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05" w:type="pct"/>
            <w:noWrap w:val="0"/>
            <w:vAlign w:val="center"/>
          </w:tcPr>
          <w:p>
            <w:pPr>
              <w:pStyle w:val="6"/>
              <w:jc w:val="left"/>
              <w:rPr>
                <w:rFonts w:hint="default" w:ascii="宋体" w:hAnsi="宋体" w:eastAsia="仿宋" w:cs="Times New Roman"/>
                <w:lang w:val="en-US" w:eastAsia="zh-CN" w:bidi="ar"/>
              </w:rPr>
            </w:pPr>
            <w:r>
              <w:rPr>
                <w:rFonts w:hint="eastAsia" w:ascii="宋体" w:hAnsi="宋体" w:eastAsia="仿宋" w:cs="Times New Roman"/>
                <w:lang w:val="en-US" w:eastAsia="zh-CN" w:bidi="ar"/>
              </w:rPr>
              <w:t>D2经济效益</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5.00</w:t>
            </w:r>
          </w:p>
        </w:tc>
        <w:tc>
          <w:tcPr>
            <w:tcW w:w="1171" w:type="dxa"/>
            <w:noWrap w:val="0"/>
            <w:vAlign w:val="bottom"/>
          </w:tcPr>
          <w:p>
            <w:pPr>
              <w:keepNext w:val="0"/>
              <w:keepLines w:val="0"/>
              <w:widowControl/>
              <w:suppressLineNumbers w:val="0"/>
              <w:jc w:val="center"/>
              <w:textAlignment w:val="bottom"/>
              <w:rPr>
                <w:rFonts w:hint="eastAsia"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D</w:t>
            </w:r>
            <w:r>
              <w:rPr>
                <w:rFonts w:hint="eastAsia" w:ascii="宋体" w:hAnsi="宋体" w:eastAsia="仿宋" w:cs="Times New Roman"/>
                <w:lang w:val="en-US" w:eastAsia="zh-CN" w:bidi="ar"/>
              </w:rPr>
              <w:t>3生态效益</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5.00</w:t>
            </w:r>
          </w:p>
        </w:tc>
        <w:tc>
          <w:tcPr>
            <w:tcW w:w="1171" w:type="dxa"/>
            <w:noWrap w:val="0"/>
            <w:vAlign w:val="bottom"/>
          </w:tcPr>
          <w:p>
            <w:pPr>
              <w:keepNext w:val="0"/>
              <w:keepLines w:val="0"/>
              <w:widowControl/>
              <w:suppressLineNumbers w:val="0"/>
              <w:jc w:val="center"/>
              <w:textAlignment w:val="bottom"/>
              <w:rPr>
                <w:rFonts w:hint="eastAsia"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ascii="宋体" w:hAnsi="宋体" w:eastAsia="仿宋" w:cs="Times New Roman"/>
                <w:lang w:val="en-US" w:bidi="ar"/>
              </w:rPr>
            </w:pPr>
            <w:r>
              <w:rPr>
                <w:rFonts w:ascii="宋体" w:hAnsi="宋体" w:eastAsia="仿宋" w:cs="Times New Roman"/>
                <w:lang w:val="en-US" w:bidi="ar"/>
              </w:rPr>
              <w:t>D</w:t>
            </w:r>
            <w:r>
              <w:rPr>
                <w:rFonts w:hint="eastAsia" w:ascii="宋体" w:hAnsi="宋体" w:eastAsia="仿宋" w:cs="Times New Roman"/>
                <w:lang w:val="en-US" w:eastAsia="zh-CN" w:bidi="ar"/>
              </w:rPr>
              <w:t>4可持续影响</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5.00</w:t>
            </w:r>
          </w:p>
        </w:tc>
        <w:tc>
          <w:tcPr>
            <w:tcW w:w="1171" w:type="dxa"/>
            <w:noWrap w:val="0"/>
            <w:vAlign w:val="bottom"/>
          </w:tcPr>
          <w:p>
            <w:pPr>
              <w:keepNext w:val="0"/>
              <w:keepLines w:val="0"/>
              <w:widowControl/>
              <w:suppressLineNumbers w:val="0"/>
              <w:jc w:val="center"/>
              <w:textAlignment w:val="bottom"/>
              <w:rPr>
                <w:rFonts w:hint="eastAsia"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jc w:val="left"/>
              <w:rPr>
                <w:rFonts w:hint="default" w:ascii="宋体" w:hAnsi="宋体" w:eastAsia="仿宋" w:cs="Times New Roman"/>
                <w:lang w:val="en-US" w:eastAsia="zh-CN" w:bidi="ar"/>
              </w:rPr>
            </w:pPr>
            <w:r>
              <w:rPr>
                <w:rFonts w:hint="eastAsia" w:ascii="宋体" w:hAnsi="宋体" w:eastAsia="仿宋" w:cs="Times New Roman"/>
                <w:lang w:val="en-US" w:eastAsia="zh-CN" w:bidi="ar"/>
              </w:rPr>
              <w:t>D5满意度</w:t>
            </w:r>
          </w:p>
        </w:tc>
        <w:tc>
          <w:tcPr>
            <w:tcW w:w="636" w:type="pct"/>
            <w:noWrap w:val="0"/>
            <w:vAlign w:val="center"/>
          </w:tcPr>
          <w:p>
            <w:pPr>
              <w:pStyle w:val="6"/>
              <w:rPr>
                <w:rFonts w:hint="eastAsia" w:ascii="宋体" w:hAnsi="宋体" w:eastAsia="仿宋" w:cs="Times New Roman"/>
                <w:lang w:val="en-US" w:eastAsia="zh-CN" w:bidi="ar"/>
              </w:rPr>
            </w:pPr>
            <w:r>
              <w:rPr>
                <w:rFonts w:hint="eastAsia" w:ascii="宋体" w:hAnsi="宋体" w:eastAsia="仿宋" w:cs="Times New Roman"/>
                <w:lang w:val="en-US" w:eastAsia="zh-CN" w:bidi="ar"/>
              </w:rPr>
              <w:t>4.00</w:t>
            </w:r>
          </w:p>
        </w:tc>
        <w:tc>
          <w:tcPr>
            <w:tcW w:w="1171" w:type="dxa"/>
            <w:noWrap w:val="0"/>
            <w:vAlign w:val="bottom"/>
          </w:tcPr>
          <w:p>
            <w:pPr>
              <w:keepNext w:val="0"/>
              <w:keepLines w:val="0"/>
              <w:widowControl/>
              <w:suppressLineNumbers w:val="0"/>
              <w:jc w:val="center"/>
              <w:textAlignment w:val="bottom"/>
              <w:rPr>
                <w:rFonts w:hint="eastAsia" w:ascii="宋体" w:hAnsi="宋体" w:eastAsia="仿宋" w:cs="Times New Roman"/>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05" w:type="pct"/>
            <w:noWrap w:val="0"/>
            <w:vAlign w:val="center"/>
          </w:tcPr>
          <w:p>
            <w:pPr>
              <w:pStyle w:val="6"/>
              <w:rPr>
                <w:rFonts w:ascii="宋体" w:hAnsi="宋体" w:eastAsia="仿宋" w:cs="Times New Roman"/>
                <w:lang w:val="en-US" w:bidi="ar"/>
              </w:rPr>
            </w:pPr>
            <w:r>
              <w:rPr>
                <w:rFonts w:hint="eastAsia" w:ascii="宋体" w:hAnsi="宋体" w:eastAsia="仿宋" w:cs="Times New Roman"/>
                <w:lang w:val="en-US" w:bidi="ar"/>
              </w:rPr>
              <w:t>合计</w:t>
            </w:r>
          </w:p>
        </w:tc>
        <w:tc>
          <w:tcPr>
            <w:tcW w:w="636" w:type="pct"/>
            <w:noWrap w:val="0"/>
            <w:vAlign w:val="center"/>
          </w:tcPr>
          <w:p>
            <w:pPr>
              <w:pStyle w:val="6"/>
              <w:rPr>
                <w:rFonts w:hint="default" w:ascii="宋体" w:hAnsi="宋体" w:eastAsia="仿宋" w:cs="Times New Roman"/>
                <w:lang w:val="en-US" w:eastAsia="zh-CN" w:bidi="ar"/>
              </w:rPr>
            </w:pPr>
            <w:r>
              <w:rPr>
                <w:rFonts w:hint="eastAsia" w:ascii="宋体" w:hAnsi="宋体" w:eastAsia="仿宋" w:cs="Times New Roman"/>
                <w:lang w:val="en-US" w:eastAsia="zh-CN" w:bidi="ar"/>
              </w:rPr>
              <w:t>100.00</w:t>
            </w:r>
          </w:p>
        </w:tc>
        <w:tc>
          <w:tcPr>
            <w:tcW w:w="1171"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 xml:space="preserve">83.23 </w:t>
            </w:r>
          </w:p>
        </w:tc>
        <w:tc>
          <w:tcPr>
            <w:tcW w:w="1655" w:type="dxa"/>
            <w:noWrap w:val="0"/>
            <w:vAlign w:val="bottom"/>
          </w:tcPr>
          <w:p>
            <w:pPr>
              <w:keepNext w:val="0"/>
              <w:keepLines w:val="0"/>
              <w:widowControl/>
              <w:suppressLineNumbers w:val="0"/>
              <w:jc w:val="center"/>
              <w:textAlignment w:val="bottom"/>
              <w:rPr>
                <w:rFonts w:ascii="宋体" w:hAnsi="宋体" w:eastAsia="仿宋" w:cs="Times New Roman"/>
                <w:lang w:val="en-US" w:bidi="ar"/>
              </w:rPr>
            </w:pPr>
            <w:r>
              <w:rPr>
                <w:rFonts w:hint="eastAsia" w:ascii="宋体" w:hAnsi="宋体" w:eastAsia="宋体" w:cs="宋体"/>
                <w:i w:val="0"/>
                <w:iCs w:val="0"/>
                <w:color w:val="000000"/>
                <w:kern w:val="0"/>
                <w:sz w:val="22"/>
                <w:szCs w:val="22"/>
                <w:u w:val="none"/>
                <w:lang w:val="en-US" w:eastAsia="zh-CN" w:bidi="ar"/>
              </w:rPr>
              <w:t>83.23%</w:t>
            </w:r>
          </w:p>
        </w:tc>
      </w:tr>
    </w:tbl>
    <w:p>
      <w:pPr>
        <w:ind w:firstLine="640"/>
        <w:outlineLvl w:val="0"/>
        <w:rPr>
          <w:rFonts w:hint="eastAsia" w:ascii="宋体" w:hAnsi="宋体" w:eastAsia="仿宋_GB2312" w:cs="仿宋_GB2312"/>
          <w:sz w:val="32"/>
          <w:szCs w:val="32"/>
          <w:highlight w:val="none"/>
          <w:lang w:val="en-US" w:eastAsia="zh-CN"/>
        </w:rPr>
      </w:pPr>
      <w:bookmarkStart w:id="16" w:name="_Toc21817"/>
      <w:bookmarkStart w:id="17" w:name="_Toc21177"/>
      <w:r>
        <w:rPr>
          <w:rFonts w:hint="eastAsia" w:ascii="宋体" w:hAnsi="宋体" w:eastAsia="黑体" w:cs="黑体"/>
          <w:sz w:val="32"/>
          <w:szCs w:val="32"/>
          <w:highlight w:val="none"/>
          <w:lang w:val="en-US" w:eastAsia="zh-CN"/>
        </w:rPr>
        <w:t>四、绩效评价指标分析</w:t>
      </w:r>
      <w:bookmarkEnd w:id="16"/>
      <w:bookmarkEnd w:id="17"/>
    </w:p>
    <w:p>
      <w:pPr>
        <w:ind w:firstLine="640"/>
        <w:outlineLvl w:val="1"/>
        <w:rPr>
          <w:rFonts w:hint="eastAsia" w:ascii="宋体" w:hAnsi="宋体" w:eastAsia="仿宋_GB2312" w:cs="仿宋_GB2312"/>
          <w:sz w:val="32"/>
          <w:szCs w:val="32"/>
          <w:highlight w:val="none"/>
          <w:lang w:val="en-US" w:eastAsia="zh-CN"/>
        </w:rPr>
      </w:pPr>
      <w:bookmarkStart w:id="18" w:name="_Toc24580"/>
      <w:bookmarkStart w:id="19" w:name="_Toc12718"/>
      <w:r>
        <w:rPr>
          <w:rFonts w:hint="eastAsia" w:ascii="宋体" w:hAnsi="宋体" w:eastAsia="仿宋_GB2312" w:cs="仿宋_GB2312"/>
          <w:sz w:val="32"/>
          <w:szCs w:val="32"/>
          <w:highlight w:val="none"/>
          <w:lang w:val="en-US" w:eastAsia="zh-CN"/>
        </w:rPr>
        <w:t>（一）项目决策情况</w:t>
      </w:r>
      <w:bookmarkEnd w:id="18"/>
      <w:bookmarkEnd w:id="19"/>
    </w:p>
    <w:p>
      <w:pPr>
        <w:ind w:firstLine="64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项目决策类，下设二级指标3个，三级指标6个，总权重分24分，实际得分22.13分，得分率92.21%，各项指标绩效分析值详见表4-1。</w:t>
      </w:r>
    </w:p>
    <w:p>
      <w:pPr>
        <w:pStyle w:val="8"/>
        <w:rPr>
          <w:rFonts w:hint="eastAsia" w:ascii="宋体" w:hAnsi="宋体" w:eastAsia="方正小标宋简体" w:cs="方正小标宋简体"/>
          <w:b w:val="0"/>
          <w:bCs/>
          <w:sz w:val="32"/>
          <w:szCs w:val="32"/>
        </w:rPr>
      </w:pPr>
      <w:r>
        <w:rPr>
          <w:rFonts w:hint="eastAsia" w:ascii="宋体" w:hAnsi="宋体" w:eastAsia="方正小标宋简体" w:cs="方正小标宋简体"/>
          <w:b w:val="0"/>
          <w:bCs/>
          <w:sz w:val="32"/>
          <w:szCs w:val="32"/>
        </w:rPr>
        <w:t>表4-1 项目决策指标得分表</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4"/>
        <w:gridCol w:w="997"/>
        <w:gridCol w:w="1144"/>
        <w:gridCol w:w="1430"/>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三级指标</w:t>
            </w:r>
          </w:p>
        </w:tc>
        <w:tc>
          <w:tcPr>
            <w:tcW w:w="585"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权重</w:t>
            </w:r>
          </w:p>
        </w:tc>
        <w:tc>
          <w:tcPr>
            <w:tcW w:w="67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标杆值</w:t>
            </w:r>
          </w:p>
        </w:tc>
        <w:tc>
          <w:tcPr>
            <w:tcW w:w="83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具体得分</w:t>
            </w:r>
          </w:p>
        </w:tc>
        <w:tc>
          <w:tcPr>
            <w:tcW w:w="806"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A101 项目申报依据充分性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充分</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A102 项目申报程序规范性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规范</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2.63</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A201 绩效指标设定合理性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合理</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A202 绩效指标明确性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明确</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A301 平衡方案科学性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科学</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A302资金分配合理性</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6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科学</w:t>
            </w: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3.50</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7"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合计</w:t>
            </w:r>
          </w:p>
        </w:tc>
        <w:tc>
          <w:tcPr>
            <w:tcW w:w="5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24.00</w:t>
            </w:r>
          </w:p>
        </w:tc>
        <w:tc>
          <w:tcPr>
            <w:tcW w:w="671" w:type="pct"/>
            <w:tcBorders>
              <w:top w:val="nil"/>
              <w:left w:val="nil"/>
              <w:bottom w:val="single" w:color="000000" w:sz="8" w:space="0"/>
              <w:right w:val="single" w:color="000000" w:sz="8" w:space="0"/>
            </w:tcBorders>
            <w:shd w:val="clear" w:color="auto" w:fill="auto"/>
            <w:noWrap/>
            <w:vAlign w:val="bottom"/>
          </w:tcPr>
          <w:p>
            <w:pPr>
              <w:widowControl/>
              <w:jc w:val="center"/>
              <w:textAlignment w:val="center"/>
              <w:rPr>
                <w:rFonts w:hint="eastAsia" w:ascii="宋体" w:hAnsi="宋体" w:eastAsia="仿宋_GB2312" w:cs="仿宋_GB2312"/>
                <w:color w:val="000000"/>
                <w:kern w:val="0"/>
                <w:sz w:val="22"/>
                <w:lang w:val="en-US" w:eastAsia="zh-CN" w:bidi="ar"/>
              </w:rPr>
            </w:pPr>
          </w:p>
        </w:tc>
        <w:tc>
          <w:tcPr>
            <w:tcW w:w="83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22.13</w:t>
            </w:r>
          </w:p>
        </w:tc>
        <w:tc>
          <w:tcPr>
            <w:tcW w:w="8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92.21%</w:t>
            </w:r>
          </w:p>
        </w:tc>
      </w:tr>
    </w:tbl>
    <w:p>
      <w:pPr>
        <w:pStyle w:val="8"/>
        <w:rPr>
          <w:rFonts w:ascii="宋体" w:hAnsi="宋体" w:eastAsia="仿宋"/>
          <w:bCs/>
        </w:rPr>
      </w:pPr>
    </w:p>
    <w:p>
      <w:pPr>
        <w:numPr>
          <w:ilvl w:val="0"/>
          <w:numId w:val="6"/>
        </w:numPr>
        <w:ind w:firstLine="640"/>
        <w:outlineLvl w:val="1"/>
        <w:rPr>
          <w:rFonts w:hint="eastAsia" w:ascii="宋体" w:hAnsi="宋体" w:eastAsia="仿宋_GB2312" w:cs="仿宋_GB2312"/>
          <w:sz w:val="32"/>
          <w:szCs w:val="32"/>
          <w:highlight w:val="none"/>
          <w:lang w:val="en-US" w:eastAsia="zh-CN"/>
        </w:rPr>
      </w:pPr>
      <w:bookmarkStart w:id="20" w:name="_Toc12709"/>
      <w:bookmarkStart w:id="21" w:name="_Toc9607"/>
      <w:r>
        <w:rPr>
          <w:rFonts w:hint="eastAsia" w:ascii="宋体" w:hAnsi="宋体" w:eastAsia="仿宋_GB2312" w:cs="仿宋_GB2312"/>
          <w:sz w:val="32"/>
          <w:szCs w:val="32"/>
          <w:highlight w:val="none"/>
          <w:lang w:val="en-US" w:eastAsia="zh-CN"/>
        </w:rPr>
        <w:t>项目过程情况。</w:t>
      </w:r>
      <w:bookmarkEnd w:id="20"/>
      <w:bookmarkEnd w:id="21"/>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项目过程情况，下设二级指标2个，三级指标6个，总权重分16分，实际得分13.10分，得分率81.88%，各项指标绩效分析值详见表4-2。</w:t>
      </w:r>
    </w:p>
    <w:p>
      <w:pPr>
        <w:numPr>
          <w:ilvl w:val="0"/>
          <w:numId w:val="0"/>
        </w:numPr>
        <w:ind w:firstLine="640" w:firstLineChars="200"/>
        <w:rPr>
          <w:rFonts w:hint="eastAsia" w:ascii="宋体" w:hAnsi="宋体" w:eastAsia="仿宋_GB2312" w:cs="仿宋_GB2312"/>
          <w:sz w:val="32"/>
          <w:szCs w:val="32"/>
          <w:highlight w:val="none"/>
          <w:lang w:val="en-US" w:eastAsia="zh-CN"/>
        </w:rPr>
      </w:pPr>
    </w:p>
    <w:p>
      <w:pPr>
        <w:pStyle w:val="8"/>
        <w:rPr>
          <w:rFonts w:hint="eastAsia" w:ascii="宋体" w:hAnsi="宋体" w:eastAsia="方正小标宋简体" w:cs="方正小标宋简体"/>
          <w:b w:val="0"/>
          <w:bCs/>
          <w:sz w:val="32"/>
          <w:szCs w:val="32"/>
        </w:rPr>
      </w:pPr>
      <w:r>
        <w:rPr>
          <w:rFonts w:hint="eastAsia" w:ascii="宋体" w:hAnsi="宋体" w:eastAsia="方正小标宋简体" w:cs="方正小标宋简体"/>
          <w:b w:val="0"/>
          <w:bCs/>
          <w:sz w:val="32"/>
          <w:szCs w:val="32"/>
        </w:rPr>
        <w:t>表4-</w:t>
      </w:r>
      <w:r>
        <w:rPr>
          <w:rFonts w:hint="eastAsia" w:ascii="宋体" w:hAnsi="宋体" w:eastAsia="方正小标宋简体" w:cs="方正小标宋简体"/>
          <w:b w:val="0"/>
          <w:bCs/>
          <w:sz w:val="32"/>
          <w:szCs w:val="32"/>
          <w:lang w:val="en-US" w:eastAsia="zh-CN"/>
        </w:rPr>
        <w:t>2</w:t>
      </w:r>
      <w:r>
        <w:rPr>
          <w:rFonts w:hint="eastAsia" w:ascii="宋体" w:hAnsi="宋体" w:eastAsia="方正小标宋简体" w:cs="方正小标宋简体"/>
          <w:b w:val="0"/>
          <w:bCs/>
          <w:sz w:val="32"/>
          <w:szCs w:val="32"/>
        </w:rPr>
        <w:t xml:space="preserve"> 项目</w:t>
      </w:r>
      <w:r>
        <w:rPr>
          <w:rFonts w:hint="eastAsia" w:ascii="宋体" w:hAnsi="宋体" w:eastAsia="方正小标宋简体" w:cs="方正小标宋简体"/>
          <w:b w:val="0"/>
          <w:bCs/>
          <w:sz w:val="32"/>
          <w:szCs w:val="32"/>
          <w:lang w:eastAsia="zh-CN"/>
        </w:rPr>
        <w:t>过程情况</w:t>
      </w:r>
      <w:r>
        <w:rPr>
          <w:rFonts w:hint="eastAsia" w:ascii="宋体" w:hAnsi="宋体" w:eastAsia="方正小标宋简体" w:cs="方正小标宋简体"/>
          <w:b w:val="0"/>
          <w:bCs/>
          <w:sz w:val="32"/>
          <w:szCs w:val="32"/>
        </w:rPr>
        <w:t>得分表</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89"/>
        <w:gridCol w:w="606"/>
        <w:gridCol w:w="725"/>
        <w:gridCol w:w="960"/>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1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三级指标</w:t>
            </w:r>
          </w:p>
        </w:tc>
        <w:tc>
          <w:tcPr>
            <w:tcW w:w="364"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权重</w:t>
            </w:r>
          </w:p>
        </w:tc>
        <w:tc>
          <w:tcPr>
            <w:tcW w:w="435"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标杆值</w:t>
            </w:r>
          </w:p>
        </w:tc>
        <w:tc>
          <w:tcPr>
            <w:tcW w:w="576"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具体得分</w:t>
            </w:r>
          </w:p>
        </w:tc>
        <w:tc>
          <w:tcPr>
            <w:tcW w:w="506"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B101 专项债券资金管理制度健全性</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健全</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B102 组织实施有效性</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有效</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B201 项目资金实际支出与债券资金总投入的比率</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1.50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B202  预算资金（银行贷款、自有资金）与项目总</w:t>
            </w:r>
          </w:p>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投资的比率</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≧95%</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1.60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B203 管理制度健全性</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健全</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B204信息公开及时性</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43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及时</w:t>
            </w: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1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合计</w:t>
            </w:r>
          </w:p>
        </w:tc>
        <w:tc>
          <w:tcPr>
            <w:tcW w:w="3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16.00</w:t>
            </w:r>
          </w:p>
        </w:tc>
        <w:tc>
          <w:tcPr>
            <w:tcW w:w="435" w:type="pct"/>
            <w:tcBorders>
              <w:top w:val="nil"/>
              <w:left w:val="nil"/>
              <w:bottom w:val="single" w:color="000000" w:sz="8" w:space="0"/>
              <w:right w:val="single" w:color="000000" w:sz="8" w:space="0"/>
            </w:tcBorders>
            <w:shd w:val="clear" w:color="auto" w:fill="auto"/>
            <w:noWrap/>
            <w:vAlign w:val="bottom"/>
          </w:tcPr>
          <w:p>
            <w:pPr>
              <w:widowControl/>
              <w:jc w:val="center"/>
              <w:textAlignment w:val="center"/>
              <w:rPr>
                <w:rFonts w:hint="eastAsia" w:ascii="宋体" w:hAnsi="宋体" w:eastAsia="仿宋_GB2312" w:cs="仿宋_GB2312"/>
                <w:color w:val="000000"/>
                <w:kern w:val="0"/>
                <w:sz w:val="22"/>
                <w:lang w:val="en-US" w:eastAsia="zh-CN" w:bidi="ar"/>
              </w:rPr>
            </w:pPr>
          </w:p>
        </w:tc>
        <w:tc>
          <w:tcPr>
            <w:tcW w:w="5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13.10</w:t>
            </w:r>
          </w:p>
        </w:tc>
        <w:tc>
          <w:tcPr>
            <w:tcW w:w="50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81.88%</w:t>
            </w:r>
          </w:p>
        </w:tc>
      </w:tr>
    </w:tbl>
    <w:p>
      <w:pPr>
        <w:pStyle w:val="8"/>
        <w:rPr>
          <w:rFonts w:ascii="宋体" w:hAnsi="宋体" w:eastAsia="仿宋"/>
          <w:bCs/>
        </w:rPr>
      </w:pPr>
    </w:p>
    <w:p>
      <w:pPr>
        <w:numPr>
          <w:ilvl w:val="0"/>
          <w:numId w:val="6"/>
        </w:numPr>
        <w:ind w:left="0" w:leftChars="0" w:firstLine="640" w:firstLineChars="0"/>
        <w:outlineLvl w:val="1"/>
        <w:rPr>
          <w:rFonts w:hint="eastAsia" w:ascii="宋体" w:hAnsi="宋体" w:eastAsia="仿宋_GB2312" w:cs="仿宋_GB2312"/>
          <w:sz w:val="32"/>
          <w:szCs w:val="32"/>
          <w:highlight w:val="none"/>
          <w:lang w:val="en-US" w:eastAsia="zh-CN"/>
        </w:rPr>
      </w:pPr>
      <w:bookmarkStart w:id="22" w:name="_Toc18987"/>
      <w:bookmarkStart w:id="23" w:name="_Toc24000"/>
      <w:r>
        <w:rPr>
          <w:rFonts w:hint="eastAsia" w:ascii="宋体" w:hAnsi="宋体" w:eastAsia="仿宋_GB2312" w:cs="仿宋_GB2312"/>
          <w:sz w:val="32"/>
          <w:szCs w:val="32"/>
          <w:highlight w:val="none"/>
          <w:lang w:val="en-US" w:eastAsia="zh-CN"/>
        </w:rPr>
        <w:t>项目产出情况。</w:t>
      </w:r>
      <w:bookmarkEnd w:id="22"/>
      <w:bookmarkEnd w:id="23"/>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项目产出情况，下设二级指标4个，三级指标10个，总权重分36分，实际得分30.00分，得分率83.33%，各项指标绩效分析值详见表4-3。</w:t>
      </w:r>
    </w:p>
    <w:p>
      <w:pPr>
        <w:pStyle w:val="8"/>
        <w:rPr>
          <w:rFonts w:hint="eastAsia" w:ascii="宋体" w:hAnsi="宋体" w:eastAsia="方正小标宋简体" w:cs="方正小标宋简体"/>
          <w:b w:val="0"/>
          <w:bCs/>
          <w:sz w:val="32"/>
          <w:szCs w:val="32"/>
        </w:rPr>
      </w:pPr>
      <w:r>
        <w:rPr>
          <w:rFonts w:hint="eastAsia" w:ascii="宋体" w:hAnsi="宋体" w:eastAsia="方正小标宋简体" w:cs="方正小标宋简体"/>
          <w:b w:val="0"/>
          <w:bCs/>
          <w:sz w:val="32"/>
          <w:szCs w:val="32"/>
        </w:rPr>
        <w:t>表4-</w:t>
      </w:r>
      <w:r>
        <w:rPr>
          <w:rFonts w:hint="eastAsia" w:ascii="宋体" w:hAnsi="宋体" w:eastAsia="方正小标宋简体" w:cs="方正小标宋简体"/>
          <w:b w:val="0"/>
          <w:bCs/>
          <w:sz w:val="32"/>
          <w:szCs w:val="32"/>
          <w:lang w:val="en-US" w:eastAsia="zh-CN"/>
        </w:rPr>
        <w:t>3</w:t>
      </w:r>
      <w:r>
        <w:rPr>
          <w:rFonts w:hint="eastAsia" w:ascii="宋体" w:hAnsi="宋体" w:eastAsia="方正小标宋简体" w:cs="方正小标宋简体"/>
          <w:b w:val="0"/>
          <w:bCs/>
          <w:sz w:val="32"/>
          <w:szCs w:val="32"/>
        </w:rPr>
        <w:t xml:space="preserve"> </w:t>
      </w:r>
      <w:r>
        <w:rPr>
          <w:rFonts w:hint="eastAsia" w:ascii="宋体" w:hAnsi="宋体" w:eastAsia="方正小标宋简体" w:cs="方正小标宋简体"/>
          <w:b w:val="0"/>
          <w:bCs/>
          <w:sz w:val="32"/>
          <w:szCs w:val="32"/>
          <w:lang w:eastAsia="zh-CN"/>
        </w:rPr>
        <w:t>项目产出情况</w:t>
      </w:r>
      <w:r>
        <w:rPr>
          <w:rFonts w:hint="eastAsia" w:ascii="宋体" w:hAnsi="宋体" w:eastAsia="方正小标宋简体" w:cs="方正小标宋简体"/>
          <w:b w:val="0"/>
          <w:bCs/>
          <w:sz w:val="32"/>
          <w:szCs w:val="32"/>
        </w:rPr>
        <w:t>得分表</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7"/>
        <w:gridCol w:w="806"/>
        <w:gridCol w:w="925"/>
        <w:gridCol w:w="1159"/>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6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三级指标</w:t>
            </w:r>
          </w:p>
        </w:tc>
        <w:tc>
          <w:tcPr>
            <w:tcW w:w="473"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权重</w:t>
            </w:r>
          </w:p>
        </w:tc>
        <w:tc>
          <w:tcPr>
            <w:tcW w:w="543"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标杆值</w:t>
            </w:r>
          </w:p>
        </w:tc>
        <w:tc>
          <w:tcPr>
            <w:tcW w:w="68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具体得分</w:t>
            </w:r>
          </w:p>
        </w:tc>
        <w:tc>
          <w:tcPr>
            <w:tcW w:w="65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C101完成工程部分投资19428.76万元</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C102 设备购置完成率</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C103设备安装完成率</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C201 项目实际产出质量与预期或目标一致</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C202采购材料达标率</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C203项目阶段性验收质量要求</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C301 工程是否及时开工</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及时</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C302 项目按计划完成阶段性采购工作</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及时</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C401 项目资本金安排的建设部分落实到位</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≧98%</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C402项目资金使用平衡率</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4.50</w:t>
            </w:r>
          </w:p>
        </w:tc>
        <w:tc>
          <w:tcPr>
            <w:tcW w:w="54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≧98%</w:t>
            </w: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0"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highlight w:val="none"/>
                <w:lang w:val="en-US" w:eastAsia="zh-CN" w:bidi="ar"/>
              </w:rPr>
            </w:pPr>
            <w:r>
              <w:rPr>
                <w:rFonts w:hint="eastAsia" w:ascii="宋体" w:hAnsi="宋体" w:eastAsia="仿宋_GB2312" w:cs="仿宋_GB2312"/>
                <w:color w:val="000000"/>
                <w:kern w:val="0"/>
                <w:sz w:val="22"/>
                <w:highlight w:val="none"/>
                <w:lang w:val="en-US" w:eastAsia="zh-CN" w:bidi="ar"/>
              </w:rPr>
              <w:t>合计</w:t>
            </w:r>
          </w:p>
        </w:tc>
        <w:tc>
          <w:tcPr>
            <w:tcW w:w="47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highlight w:val="none"/>
                <w:lang w:val="en-US" w:eastAsia="zh-CN" w:bidi="ar"/>
              </w:rPr>
            </w:pPr>
            <w:r>
              <w:rPr>
                <w:rFonts w:hint="eastAsia" w:ascii="宋体" w:hAnsi="宋体" w:eastAsia="仿宋_GB2312" w:cs="仿宋_GB2312"/>
                <w:color w:val="000000"/>
                <w:kern w:val="0"/>
                <w:sz w:val="22"/>
                <w:highlight w:val="none"/>
                <w:lang w:val="en-US" w:eastAsia="zh-CN" w:bidi="ar"/>
              </w:rPr>
              <w:t>36.00</w:t>
            </w:r>
          </w:p>
        </w:tc>
        <w:tc>
          <w:tcPr>
            <w:tcW w:w="543" w:type="pct"/>
            <w:tcBorders>
              <w:top w:val="nil"/>
              <w:left w:val="nil"/>
              <w:bottom w:val="single" w:color="000000" w:sz="8" w:space="0"/>
              <w:right w:val="single" w:color="000000" w:sz="8" w:space="0"/>
            </w:tcBorders>
            <w:shd w:val="clear" w:color="auto" w:fill="auto"/>
            <w:noWrap/>
            <w:vAlign w:val="bottom"/>
          </w:tcPr>
          <w:p>
            <w:pPr>
              <w:widowControl/>
              <w:jc w:val="center"/>
              <w:textAlignment w:val="center"/>
              <w:rPr>
                <w:rFonts w:hint="eastAsia" w:ascii="宋体" w:hAnsi="宋体" w:eastAsia="仿宋_GB2312" w:cs="仿宋_GB2312"/>
                <w:color w:val="000000"/>
                <w:kern w:val="0"/>
                <w:sz w:val="22"/>
                <w:highlight w:val="none"/>
                <w:lang w:val="en-US" w:eastAsia="zh-CN" w:bidi="ar"/>
              </w:rPr>
            </w:pPr>
          </w:p>
        </w:tc>
        <w:tc>
          <w:tcPr>
            <w:tcW w:w="6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highlight w:val="none"/>
                <w:lang w:val="en-US" w:eastAsia="zh-CN" w:bidi="ar"/>
              </w:rPr>
            </w:pPr>
            <w:r>
              <w:rPr>
                <w:rFonts w:hint="eastAsia" w:ascii="宋体" w:hAnsi="宋体" w:eastAsia="仿宋_GB2312" w:cs="仿宋_GB2312"/>
                <w:color w:val="000000"/>
                <w:kern w:val="0"/>
                <w:sz w:val="22"/>
                <w:highlight w:val="none"/>
                <w:lang w:val="en-US" w:eastAsia="zh-CN" w:bidi="ar"/>
              </w:rPr>
              <w:t>30.00</w:t>
            </w:r>
          </w:p>
        </w:tc>
        <w:tc>
          <w:tcPr>
            <w:tcW w:w="6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highlight w:val="none"/>
                <w:lang w:val="en-US" w:eastAsia="zh-CN" w:bidi="ar"/>
              </w:rPr>
            </w:pPr>
            <w:r>
              <w:rPr>
                <w:rFonts w:hint="eastAsia" w:ascii="宋体" w:hAnsi="宋体" w:eastAsia="仿宋_GB2312" w:cs="仿宋_GB2312"/>
                <w:color w:val="000000"/>
                <w:kern w:val="0"/>
                <w:sz w:val="22"/>
                <w:highlight w:val="none"/>
                <w:lang w:val="en-US" w:eastAsia="zh-CN" w:bidi="ar"/>
              </w:rPr>
              <w:t>83.33%</w:t>
            </w:r>
          </w:p>
        </w:tc>
      </w:tr>
    </w:tbl>
    <w:p>
      <w:pPr>
        <w:pStyle w:val="8"/>
        <w:rPr>
          <w:rFonts w:ascii="宋体" w:hAnsi="宋体" w:eastAsia="仿宋"/>
          <w:bCs/>
          <w:highlight w:val="none"/>
        </w:rPr>
      </w:pPr>
    </w:p>
    <w:p>
      <w:pPr>
        <w:numPr>
          <w:ilvl w:val="0"/>
          <w:numId w:val="6"/>
        </w:numPr>
        <w:ind w:left="0" w:leftChars="0" w:firstLine="640" w:firstLineChars="0"/>
        <w:outlineLvl w:val="1"/>
        <w:rPr>
          <w:rFonts w:hint="eastAsia" w:ascii="宋体" w:hAnsi="宋体" w:eastAsia="仿宋_GB2312" w:cs="仿宋_GB2312"/>
          <w:sz w:val="32"/>
          <w:szCs w:val="32"/>
          <w:highlight w:val="none"/>
          <w:lang w:val="en-US" w:eastAsia="zh-CN"/>
        </w:rPr>
      </w:pPr>
      <w:bookmarkStart w:id="24" w:name="_Toc28171"/>
      <w:bookmarkStart w:id="25" w:name="_Toc26613"/>
      <w:r>
        <w:rPr>
          <w:rFonts w:hint="eastAsia" w:ascii="宋体" w:hAnsi="宋体" w:eastAsia="仿宋_GB2312" w:cs="仿宋_GB2312"/>
          <w:sz w:val="32"/>
          <w:szCs w:val="32"/>
          <w:highlight w:val="none"/>
          <w:lang w:val="en-US" w:eastAsia="zh-CN"/>
        </w:rPr>
        <w:t>项目效益情况。</w:t>
      </w:r>
      <w:bookmarkEnd w:id="24"/>
      <w:bookmarkEnd w:id="25"/>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项目效益情况，下设二级指标5个，三级指标6个，总权重分24分，实际得分18.00分，得分率75.00%，各项指标绩效分析值详见表4-4。</w:t>
      </w:r>
    </w:p>
    <w:p>
      <w:pPr>
        <w:numPr>
          <w:ilvl w:val="0"/>
          <w:numId w:val="0"/>
        </w:numPr>
        <w:ind w:firstLine="640" w:firstLineChars="200"/>
        <w:jc w:val="center"/>
        <w:rPr>
          <w:rFonts w:hint="eastAsia" w:ascii="宋体" w:hAnsi="宋体" w:eastAsia="方正小标宋简体" w:cs="方正小标宋简体"/>
          <w:b w:val="0"/>
          <w:bCs/>
          <w:kern w:val="0"/>
          <w:sz w:val="32"/>
          <w:szCs w:val="32"/>
          <w:lang w:val="en-US" w:eastAsia="zh-CN" w:bidi="ar-SA"/>
        </w:rPr>
      </w:pPr>
      <w:r>
        <w:rPr>
          <w:rFonts w:hint="eastAsia" w:ascii="宋体" w:hAnsi="宋体" w:eastAsia="方正小标宋简体" w:cs="方正小标宋简体"/>
          <w:b w:val="0"/>
          <w:bCs/>
          <w:kern w:val="0"/>
          <w:sz w:val="32"/>
          <w:szCs w:val="32"/>
          <w:lang w:val="en-US" w:eastAsia="zh-CN" w:bidi="ar-SA"/>
        </w:rPr>
        <w:t>表4-4 项目产出情况得分表</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45"/>
        <w:gridCol w:w="593"/>
        <w:gridCol w:w="791"/>
        <w:gridCol w:w="901"/>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三级指标</w:t>
            </w:r>
          </w:p>
        </w:tc>
        <w:tc>
          <w:tcPr>
            <w:tcW w:w="416"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权重</w:t>
            </w:r>
          </w:p>
        </w:tc>
        <w:tc>
          <w:tcPr>
            <w:tcW w:w="53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标杆值</w:t>
            </w:r>
          </w:p>
        </w:tc>
        <w:tc>
          <w:tcPr>
            <w:tcW w:w="58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具体得分</w:t>
            </w:r>
          </w:p>
        </w:tc>
        <w:tc>
          <w:tcPr>
            <w:tcW w:w="53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D101新增就业率</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D201项目实现预期收入113,244.97万元具有经济效益</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98.00%</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4.00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D301 无涉及环保处罚</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0</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D401 沟通协调机制有效性</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健全</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3.00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D501 使用人员满意度</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D502 政府部门人员满意度</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100.00%</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29"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合计</w:t>
            </w:r>
          </w:p>
        </w:tc>
        <w:tc>
          <w:tcPr>
            <w:tcW w:w="41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24.00</w:t>
            </w:r>
          </w:p>
        </w:tc>
        <w:tc>
          <w:tcPr>
            <w:tcW w:w="531" w:type="pct"/>
            <w:tcBorders>
              <w:top w:val="nil"/>
              <w:left w:val="nil"/>
              <w:bottom w:val="single" w:color="000000" w:sz="8" w:space="0"/>
              <w:right w:val="single" w:color="000000" w:sz="8" w:space="0"/>
            </w:tcBorders>
            <w:shd w:val="clear" w:color="auto" w:fill="auto"/>
            <w:noWrap/>
            <w:vAlign w:val="bottom"/>
          </w:tcPr>
          <w:p>
            <w:pPr>
              <w:widowControl/>
              <w:jc w:val="center"/>
              <w:textAlignment w:val="center"/>
              <w:rPr>
                <w:rFonts w:hint="eastAsia" w:ascii="宋体" w:hAnsi="宋体" w:eastAsia="仿宋_GB2312" w:cs="仿宋_GB2312"/>
                <w:color w:val="000000"/>
                <w:kern w:val="0"/>
                <w:sz w:val="22"/>
                <w:lang w:val="en-US" w:eastAsia="zh-CN" w:bidi="ar"/>
              </w:rPr>
            </w:pP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18.00</w:t>
            </w:r>
          </w:p>
        </w:tc>
        <w:tc>
          <w:tcPr>
            <w:tcW w:w="53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仿宋_GB2312" w:cs="仿宋_GB2312"/>
                <w:color w:val="000000"/>
                <w:kern w:val="0"/>
                <w:sz w:val="22"/>
                <w:lang w:val="en-US" w:eastAsia="zh-CN" w:bidi="ar"/>
              </w:rPr>
            </w:pPr>
            <w:r>
              <w:rPr>
                <w:rFonts w:hint="eastAsia" w:ascii="宋体" w:hAnsi="宋体" w:eastAsia="仿宋_GB2312" w:cs="仿宋_GB2312"/>
                <w:color w:val="000000"/>
                <w:kern w:val="0"/>
                <w:sz w:val="22"/>
                <w:lang w:val="en-US" w:eastAsia="zh-CN" w:bidi="ar"/>
              </w:rPr>
              <w:t>75.00%</w:t>
            </w:r>
          </w:p>
        </w:tc>
      </w:tr>
    </w:tbl>
    <w:p>
      <w:pPr>
        <w:numPr>
          <w:ilvl w:val="0"/>
          <w:numId w:val="0"/>
        </w:numPr>
        <w:ind w:firstLine="482" w:firstLineChars="200"/>
        <w:jc w:val="center"/>
        <w:rPr>
          <w:rFonts w:hint="eastAsia" w:ascii="宋体" w:hAnsi="宋体" w:eastAsia="仿宋" w:cstheme="minorBidi"/>
          <w:b/>
          <w:kern w:val="0"/>
          <w:sz w:val="24"/>
          <w:szCs w:val="28"/>
          <w:lang w:val="en-US" w:eastAsia="zh-CN" w:bidi="ar-SA"/>
        </w:rPr>
      </w:pPr>
    </w:p>
    <w:p>
      <w:pPr>
        <w:numPr>
          <w:ilvl w:val="0"/>
          <w:numId w:val="5"/>
        </w:numPr>
        <w:ind w:left="0" w:leftChars="0" w:firstLine="640" w:firstLineChars="0"/>
        <w:outlineLvl w:val="0"/>
        <w:rPr>
          <w:rFonts w:hint="eastAsia" w:ascii="宋体" w:hAnsi="宋体" w:eastAsia="黑体" w:cs="黑体"/>
          <w:sz w:val="32"/>
          <w:szCs w:val="32"/>
          <w:lang w:val="en-US" w:eastAsia="zh-CN"/>
        </w:rPr>
      </w:pPr>
      <w:bookmarkStart w:id="26" w:name="_Toc14595"/>
      <w:bookmarkStart w:id="27" w:name="_Toc9770"/>
      <w:r>
        <w:rPr>
          <w:rFonts w:hint="eastAsia" w:ascii="宋体" w:hAnsi="宋体" w:eastAsia="黑体" w:cs="黑体"/>
          <w:sz w:val="32"/>
          <w:szCs w:val="32"/>
          <w:lang w:val="en-US" w:eastAsia="zh-CN"/>
        </w:rPr>
        <w:t>主要经验及做法、存在的问题及原因分析、</w:t>
      </w:r>
      <w:bookmarkEnd w:id="26"/>
      <w:bookmarkEnd w:id="27"/>
    </w:p>
    <w:p>
      <w:pPr>
        <w:numPr>
          <w:ilvl w:val="0"/>
          <w:numId w:val="0"/>
        </w:numPr>
        <w:ind w:firstLine="640" w:firstLineChars="200"/>
        <w:outlineLvl w:val="1"/>
        <w:rPr>
          <w:rFonts w:hint="eastAsia" w:ascii="宋体" w:hAnsi="宋体" w:eastAsia="仿宋_GB2312" w:cs="仿宋_GB2312"/>
          <w:sz w:val="32"/>
          <w:szCs w:val="32"/>
          <w:highlight w:val="none"/>
          <w:lang w:val="en-US" w:eastAsia="zh-CN"/>
        </w:rPr>
      </w:pPr>
      <w:bookmarkStart w:id="28" w:name="_Toc13502"/>
      <w:bookmarkStart w:id="29" w:name="_Toc30598"/>
      <w:r>
        <w:rPr>
          <w:rFonts w:hint="eastAsia" w:ascii="宋体" w:hAnsi="宋体" w:eastAsia="仿宋_GB2312" w:cs="仿宋_GB2312"/>
          <w:sz w:val="32"/>
          <w:szCs w:val="32"/>
          <w:highlight w:val="none"/>
          <w:lang w:val="en-US" w:eastAsia="zh-CN"/>
        </w:rPr>
        <w:t>（一）监督问责机制欠缺，项目运行监控存在隐患</w:t>
      </w:r>
      <w:bookmarkEnd w:id="28"/>
      <w:bookmarkEnd w:id="29"/>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在调查过程中发现大量工作人员对绩效工作的认识程度是存在显著差异的，缺乏一定的统筹协调，同时相关部门缺乏较为专业的绩效评价人员，在运行监控的过程中未根据项目及实施单位特点制定合理的监督问责机制，缺乏一定的运行监控规范性。各个业务部门应当配发设备的种类及数量缺乏指导性文件，标准不明确，预算编制缺乏具体的指标，预算编制缺乏一定的合理性。</w:t>
      </w:r>
    </w:p>
    <w:p>
      <w:pPr>
        <w:numPr>
          <w:ilvl w:val="0"/>
          <w:numId w:val="0"/>
        </w:numPr>
        <w:ind w:firstLine="640" w:firstLineChars="200"/>
        <w:outlineLvl w:val="1"/>
        <w:rPr>
          <w:rFonts w:hint="eastAsia" w:ascii="宋体" w:hAnsi="宋体" w:eastAsia="仿宋_GB2312" w:cs="仿宋_GB2312"/>
          <w:sz w:val="32"/>
          <w:szCs w:val="32"/>
          <w:highlight w:val="none"/>
          <w:lang w:val="en-US" w:eastAsia="zh-CN"/>
        </w:rPr>
      </w:pPr>
      <w:bookmarkStart w:id="30" w:name="_Toc20057"/>
      <w:bookmarkStart w:id="31" w:name="_Toc21547"/>
      <w:r>
        <w:rPr>
          <w:rFonts w:hint="eastAsia" w:ascii="宋体" w:hAnsi="宋体" w:eastAsia="仿宋_GB2312" w:cs="仿宋_GB2312"/>
          <w:sz w:val="32"/>
          <w:szCs w:val="32"/>
          <w:highlight w:val="none"/>
          <w:lang w:val="en-US" w:eastAsia="zh-CN"/>
        </w:rPr>
        <w:t>（二）管理制度不健全，库存管理存在隐患</w:t>
      </w:r>
      <w:bookmarkEnd w:id="30"/>
      <w:bookmarkEnd w:id="31"/>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购置的设备数量多及品种较为繁杂，在进行调研及访谈的过程中发现白山市浑江区经开建设发展有限公司针对购置设备未建立专门的档案管理，一般设备采购完成后，直接进行现场安装。大部分设备未进行及时登记；另一方面未建立完整的设备库存制度，导致仅对设备初期购入基本情况的大致明确，不能对设备整个的出库、入库、使用过程及折旧等情况进行确切了解。</w:t>
      </w:r>
    </w:p>
    <w:p>
      <w:pPr>
        <w:numPr>
          <w:ilvl w:val="0"/>
          <w:numId w:val="5"/>
        </w:numPr>
        <w:ind w:left="0" w:leftChars="0" w:firstLine="640" w:firstLineChars="0"/>
        <w:outlineLvl w:val="0"/>
        <w:rPr>
          <w:rFonts w:hint="eastAsia" w:ascii="宋体" w:hAnsi="宋体" w:eastAsia="黑体" w:cs="黑体"/>
          <w:sz w:val="32"/>
          <w:szCs w:val="32"/>
          <w:lang w:val="en-US" w:eastAsia="zh-CN"/>
        </w:rPr>
      </w:pPr>
      <w:bookmarkStart w:id="32" w:name="_Toc21086"/>
      <w:bookmarkStart w:id="33" w:name="_Toc3766"/>
      <w:r>
        <w:rPr>
          <w:rFonts w:hint="eastAsia" w:ascii="宋体" w:hAnsi="宋体" w:eastAsia="黑体" w:cs="黑体"/>
          <w:sz w:val="32"/>
          <w:szCs w:val="32"/>
          <w:lang w:val="en-US" w:eastAsia="zh-CN"/>
        </w:rPr>
        <w:t>有关建议</w:t>
      </w:r>
      <w:bookmarkEnd w:id="32"/>
      <w:bookmarkEnd w:id="33"/>
    </w:p>
    <w:p>
      <w:pPr>
        <w:numPr>
          <w:ilvl w:val="0"/>
          <w:numId w:val="0"/>
        </w:numPr>
        <w:ind w:firstLine="640" w:firstLineChars="200"/>
        <w:outlineLvl w:val="1"/>
        <w:rPr>
          <w:rFonts w:hint="eastAsia" w:ascii="宋体" w:hAnsi="宋体" w:eastAsia="仿宋_GB2312" w:cs="仿宋_GB2312"/>
          <w:sz w:val="32"/>
          <w:szCs w:val="32"/>
          <w:highlight w:val="none"/>
          <w:lang w:val="en-US" w:eastAsia="zh-CN"/>
        </w:rPr>
      </w:pPr>
      <w:bookmarkStart w:id="34" w:name="_Toc20097"/>
      <w:bookmarkStart w:id="35" w:name="_Toc17743"/>
      <w:r>
        <w:rPr>
          <w:rFonts w:hint="eastAsia" w:ascii="宋体" w:hAnsi="宋体" w:eastAsia="仿宋_GB2312" w:cs="仿宋_GB2312"/>
          <w:sz w:val="32"/>
          <w:szCs w:val="32"/>
          <w:highlight w:val="none"/>
          <w:lang w:val="en-US" w:eastAsia="zh-CN"/>
        </w:rPr>
        <w:t>（一）健全预算编制制度，规范预算编制管理</w:t>
      </w:r>
      <w:bookmarkEnd w:id="34"/>
      <w:bookmarkEnd w:id="35"/>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建议白山市浑江区经开建设发展有限公司根据中华人民共和国公安部发布的预算要求，编制符合白山市医药高新产业园起步区建设项目（一期）工作特点的预算编制制度，明确在各种类型项目中预算编制的标准、规范和流程等，在执行《资金内部控制制度》的基础上，进一步完善制度建设，加强预算编制规范性的管理。</w:t>
      </w:r>
    </w:p>
    <w:p>
      <w:pPr>
        <w:numPr>
          <w:ilvl w:val="0"/>
          <w:numId w:val="0"/>
        </w:numPr>
        <w:ind w:firstLine="640" w:firstLineChars="200"/>
        <w:outlineLvl w:val="1"/>
        <w:rPr>
          <w:rFonts w:hint="eastAsia" w:ascii="宋体" w:hAnsi="宋体" w:eastAsia="仿宋_GB2312" w:cs="仿宋_GB2312"/>
          <w:sz w:val="32"/>
          <w:szCs w:val="32"/>
          <w:highlight w:val="none"/>
          <w:lang w:val="en-US" w:eastAsia="zh-CN"/>
        </w:rPr>
      </w:pPr>
      <w:bookmarkStart w:id="36" w:name="_Toc26125"/>
      <w:bookmarkStart w:id="37" w:name="_Toc21291"/>
      <w:r>
        <w:rPr>
          <w:rFonts w:hint="eastAsia" w:ascii="宋体" w:hAnsi="宋体" w:eastAsia="仿宋_GB2312" w:cs="仿宋_GB2312"/>
          <w:sz w:val="32"/>
          <w:szCs w:val="32"/>
          <w:highlight w:val="none"/>
          <w:lang w:val="en-US" w:eastAsia="zh-CN"/>
        </w:rPr>
        <w:t>（二）加强档案及库存管理，形成内部循环控制系统</w:t>
      </w:r>
      <w:bookmarkEnd w:id="36"/>
      <w:bookmarkEnd w:id="37"/>
    </w:p>
    <w:p>
      <w:pPr>
        <w:numPr>
          <w:ilvl w:val="0"/>
          <w:numId w:val="0"/>
        </w:numPr>
        <w:ind w:firstLine="640" w:firstLineChars="200"/>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建议白山市浑江区经开建设发展有限公司应借鉴国家规范制度，明确档案管理的目标、范围、流程等，形成符合白山市浑江区经开建设发展有限公司工作特点的项目档案管理制度。针对本项目或类似项目将购置设备按照实际需求进行分类，针对不同的设备编制条形码，录入电脑，进行网络信息化管理。同时库存管理实行岗位责任制，定期对设备使用情况审核及管理。</w:t>
      </w:r>
    </w:p>
    <w:p>
      <w:pPr>
        <w:ind w:firstLine="640"/>
        <w:outlineLvl w:val="0"/>
        <w:rPr>
          <w:rFonts w:hint="eastAsia" w:ascii="宋体" w:hAnsi="宋体" w:eastAsia="黑体" w:cs="黑体"/>
          <w:sz w:val="32"/>
          <w:szCs w:val="32"/>
          <w:lang w:val="en-US" w:eastAsia="zh-CN"/>
        </w:rPr>
      </w:pPr>
      <w:bookmarkStart w:id="38" w:name="_Toc25854"/>
      <w:bookmarkStart w:id="39" w:name="_Toc4244"/>
      <w:r>
        <w:rPr>
          <w:rFonts w:hint="eastAsia" w:ascii="宋体" w:hAnsi="宋体" w:eastAsia="黑体" w:cs="黑体"/>
          <w:sz w:val="32"/>
          <w:szCs w:val="32"/>
          <w:lang w:val="en-US" w:eastAsia="zh-CN"/>
        </w:rPr>
        <w:t>六、其他需要说明的问题</w:t>
      </w:r>
      <w:bookmarkEnd w:id="38"/>
      <w:bookmarkEnd w:id="39"/>
    </w:p>
    <w:p>
      <w:pPr>
        <w:numPr>
          <w:ilvl w:val="0"/>
          <w:numId w:val="0"/>
        </w:numPr>
        <w:ind w:firstLine="640" w:firstLineChars="200"/>
        <w:rPr>
          <w:rFonts w:hint="eastAsia" w:ascii="宋体" w:hAnsi="宋体" w:eastAsia="仿宋_GB2312" w:cs="仿宋_GB2312"/>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仿宋_GB2312" w:cs="仿宋_GB2312"/>
          <w:sz w:val="32"/>
          <w:szCs w:val="32"/>
          <w:highlight w:val="none"/>
          <w:lang w:val="en-US" w:eastAsia="zh-CN"/>
        </w:rPr>
        <w:t>由于新冠疫情的影响，导致部分项目资料无法提供，因此，本次绩效评价工作存在一定局限性</w:t>
      </w:r>
    </w:p>
    <w:p>
      <w:pPr>
        <w:numPr>
          <w:ilvl w:val="0"/>
          <w:numId w:val="0"/>
        </w:numPr>
        <w:outlineLvl w:val="0"/>
        <w:rPr>
          <w:rFonts w:hint="eastAsia" w:ascii="宋体" w:hAnsi="宋体" w:eastAsia="仿宋_GB2312" w:cs="仿宋_GB2312"/>
          <w:sz w:val="32"/>
          <w:szCs w:val="32"/>
          <w:highlight w:val="none"/>
          <w:lang w:val="en-US" w:eastAsia="zh-CN"/>
        </w:rPr>
      </w:pPr>
      <w:bookmarkStart w:id="40" w:name="_Toc15979"/>
      <w:bookmarkStart w:id="41" w:name="_Toc19522"/>
      <w:r>
        <w:rPr>
          <w:rFonts w:hint="eastAsia" w:ascii="宋体" w:hAnsi="宋体" w:eastAsia="仿宋_GB2312" w:cs="仿宋_GB2312"/>
          <w:sz w:val="32"/>
          <w:szCs w:val="32"/>
          <w:highlight w:val="none"/>
          <w:lang w:val="en-US" w:eastAsia="zh-CN"/>
        </w:rPr>
        <w:t>附件</w:t>
      </w:r>
      <w:bookmarkEnd w:id="40"/>
      <w:bookmarkEnd w:id="41"/>
    </w:p>
    <w:p>
      <w:pPr>
        <w:numPr>
          <w:ilvl w:val="0"/>
          <w:numId w:val="0"/>
        </w:numPr>
        <w:outlineLvl w:val="0"/>
        <w:rPr>
          <w:rFonts w:hint="eastAsia" w:ascii="宋体" w:hAnsi="宋体" w:eastAsia="仿宋_GB2312" w:cs="仿宋_GB2312"/>
          <w:sz w:val="32"/>
          <w:szCs w:val="32"/>
          <w:highlight w:val="none"/>
          <w:lang w:val="en-US" w:eastAsia="zh-CN"/>
        </w:rPr>
      </w:pPr>
      <w:bookmarkStart w:id="42" w:name="_Toc29072"/>
      <w:bookmarkStart w:id="43" w:name="_Toc2991"/>
      <w:r>
        <w:rPr>
          <w:rFonts w:hint="eastAsia" w:ascii="宋体" w:hAnsi="宋体" w:eastAsia="仿宋_GB2312" w:cs="仿宋_GB2312"/>
          <w:sz w:val="32"/>
          <w:szCs w:val="32"/>
          <w:highlight w:val="none"/>
          <w:lang w:val="en-US" w:eastAsia="zh-CN"/>
        </w:rPr>
        <w:t>附表1专项债券项目绩效评价指标体系</w:t>
      </w:r>
      <w:bookmarkEnd w:id="42"/>
      <w:bookmarkEnd w:id="43"/>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336"/>
        <w:gridCol w:w="945"/>
        <w:gridCol w:w="1174"/>
        <w:gridCol w:w="948"/>
        <w:gridCol w:w="1392"/>
        <w:gridCol w:w="959"/>
        <w:gridCol w:w="945"/>
        <w:gridCol w:w="3967"/>
        <w:gridCol w:w="956"/>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9" w:hRule="atLeast"/>
          <w:tblHeader/>
        </w:trPr>
        <w:tc>
          <w:tcPr>
            <w:tcW w:w="4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一级指标</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二级指标</w:t>
            </w:r>
          </w:p>
        </w:tc>
        <w:tc>
          <w:tcPr>
            <w:tcW w:w="42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三级指标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权重</w:t>
            </w:r>
          </w:p>
        </w:tc>
        <w:tc>
          <w:tcPr>
            <w:tcW w:w="4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指标解释</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标杆值</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评分依据</w:t>
            </w:r>
          </w:p>
        </w:tc>
        <w:tc>
          <w:tcPr>
            <w:tcW w:w="141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评分标准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得分</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1"/>
                <w:szCs w:val="21"/>
                <w:u w:val="none"/>
              </w:rPr>
            </w:pPr>
            <w:r>
              <w:rPr>
                <w:rFonts w:hint="eastAsia" w:ascii="宋体" w:hAnsi="宋体" w:eastAsia="仿宋_GB2312" w:cs="仿宋_GB2312"/>
                <w:b/>
                <w:bCs/>
                <w:i w:val="0"/>
                <w:iCs w:val="0"/>
                <w:color w:val="auto"/>
                <w:kern w:val="0"/>
                <w:sz w:val="21"/>
                <w:szCs w:val="21"/>
                <w:u w:val="none"/>
                <w:lang w:val="en-US" w:eastAsia="zh-CN"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47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 项目决策</w:t>
            </w: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24</w:t>
            </w: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A1 申报程序规范性</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6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A101 项目申报依据充分性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考察项目立项是否符合法律法规、相关政策、发展规划以及部门职责，用以反映和考核项目立项依据情况。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充分</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专项债券项目是否属于国家和省委省政府确定的重点行业、重点区域、重大项目；②项目是否符合专项债券支持领域和方向情况；③项目立项审批是否符合国家法律法规、国民经济发展规划和市县区城市发展规划；④项目是否列入政府投资计划和中长期财政规划；⑤是否纳入财政部地方政府债务管理系统项目库和发改委国家重大项目建设库；⑥项目资金是否纳入政府性基金预算管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以上五项各占14.29%权重分，项目符合则得对应权重分。根据《白山市国民经济和社会发展第十四个五年规划和2035年远景目标纲要》、微信访谈，未提供评分标准⑤及⑥，故此项得分2.5分。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71.43%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A102 项目申报程序规范性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考察项目申请、设立过程是否符合相关要求，用以反映和考核项目立项的规范情况。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规范</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①是否编制可行性研究报告或项目申请报告；②可行性研究报告和项目申请报告核准文件是否批复；③环境影响评价、安全评价、施工许可证或开工报告等是否有相关批复文件；④项目前期准备是否有选址意见书和用地审批文件。</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以上五项各占25%权重分，符合则得对应权重分。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根据可行性研究报告及相关批复，本项目为出让不涉及选址意见书，同时根据吉林省人民政府关于白山市人民政府2020年第10批次农用地转用和土地征收的批复，未提供③，故此项得分2.63分。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2.63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A2 项目指标设定的合理性与指标明确性</w:t>
            </w:r>
          </w:p>
        </w:tc>
        <w:tc>
          <w:tcPr>
            <w:tcW w:w="420"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A201 绩效指标设定合理性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考察项目主管理部门和项目单位所设定的绩效目标是否依据充分，是否符合客观实际，用以反映和考核项目绩效目标与项目实施的相符情况。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合理</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本项目①设立对应的绩效目标；②绩效目标指标值是否与债券融资投入的项目内容相符；③预期产出效益和效果符合当地发展需求；④与项目所申请的专项债券资金与项目概算需求的资金量是否相匹配。</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以上五项各占25%权重分，符合则得对应权重分。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根据项目单位提供的《绩效目标申报表》、投资估算表及项目平衡方案可知本项得满分5分。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5.00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7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A202 绩效指标明确性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考察项目设置的绩效指标是否清晰、细化、可衡量等，用以反映和考核项目绩效目标的明细化情况。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明确</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绩效目标细化分解可反映项目相关信息，项目绩效目标明确；②绩效目标清晰，绩效指标或者数据可获得，可衡量；③绩效目标可实现性，根据实际需要制定绩效指标；④绩效目标指标值的设定与项目目标任务数或者计划数相对应 。</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根据项目单位提供的《绩效目标申报表》、投资估算表及项目平衡方案可知本项得满分5分。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5.00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A3 平衡方案科学性及资金分配合理性</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A301平衡方案科学性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考察项目平衡方案是否经过科学论证、有明确标准，用以反映专项债券项目资金编制的科学性。</w:t>
            </w: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本项目①预算编制经过科学论证；②预编制的内容与申请专项债券项目内容是否相匹配；③申请专项债券额度测算依据是否按照专项债券资金使用规定编制；④申请的专项 债券项目资金额度与当年专项债券项目任务是否相匹配。</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以上四项各占25%权重分，符合则得对应权重分。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根据白山市浑江区人民政府出具的《白山市医药高新产业园起步区（一期）建设项目资金来源的说明》可知本项得满分3.5分。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3.50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A302资金分配合理性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专项债券项目资金分配使用是否有测算 依据，与该项目所需资金的真实性是否相符，用以反映 和考核新增专项债券项目资金分配的科学性、合理性</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科学</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本项目①预算编制经过科学论证；②专项债券资金分配使用依据是否充分；③预算额度测算依据充分，价格和数量测算均准确；④预算资金、银行贷款、自有资金、债券资金额度分配是否合理。</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以上四项各占25%权重分，符合则得对应权重分。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根据白山市浑江区人民政府出具的《白山市医药高新产业园起步区（一期）建设项目资金来源的说明》可知本项得满分3.5分。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3.50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47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 项目过程</w:t>
            </w: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16</w:t>
            </w: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B1 资金管理</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B101专项债券资金管理制度健全性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使用专项债券项目实施单位财务和业务管理制度是否健全，用以反映和考核专项债券项目顺利实施的保障能力及有效执行情况。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健全</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①项目实施单位财务和业务管理部门是否制定专项债券资金使用计划；②专项债券收支、还本付息及专项收入纳入政府性基金预算管理情况；③项目变更调整理由是否充分，手续是否完备。</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以上三项各占33.33%权重分，符合则得对应权重分。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根据白山市浑江区人民政府出具的《白山市医药高新产业园起步区（一期）建设项目资金来源的说明》、相关平衡方案及财务评价报告此项得满分4分。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B102组织实施有效性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是否符合法律法规和相关管理规定，用以反映和考核专项债券项目顺利实施的保障能力及有效执行情况。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有效</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①项目实施的人员条件、场地设备、信息支撑等是否落实到位；②项目竣工后资产备案和产权登记情况；③专项债券项目信息公开情况；④外部监督发现问题整改情况；⑤信息系统管理使用情况；⑥其他财务、采购和管理情况。</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以上六项各占16.67%权重分，符合则得对应权重分。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白山市浑江区人民政府出具的《白山市医药高新产业园起步区（一期）建设项目资金来源的说明》、相关平衡方案及财务评价报告，同时根据访谈2021年项目实施单位已完成部分建设主体，资金执行率大于95%，但因疫情影响项目2022年施工时间延迟，数据无法提供，</w:t>
            </w:r>
            <w:r>
              <w:rPr>
                <w:rStyle w:val="12"/>
                <w:rFonts w:hint="eastAsia" w:ascii="宋体" w:hAnsi="宋体" w:eastAsia="仿宋_GB2312" w:cs="仿宋_GB2312"/>
                <w:color w:val="auto"/>
                <w:sz w:val="21"/>
                <w:szCs w:val="21"/>
                <w:lang w:val="en-US" w:eastAsia="zh-CN" w:bidi="ar"/>
              </w:rPr>
              <w:t>④⑥</w:t>
            </w:r>
            <w:r>
              <w:rPr>
                <w:rFonts w:hint="eastAsia" w:ascii="宋体" w:hAnsi="宋体" w:eastAsia="仿宋_GB2312" w:cs="仿宋_GB2312"/>
                <w:i w:val="0"/>
                <w:iCs w:val="0"/>
                <w:color w:val="auto"/>
                <w:kern w:val="0"/>
                <w:sz w:val="21"/>
                <w:szCs w:val="21"/>
                <w:u w:val="none"/>
                <w:lang w:val="en-US" w:eastAsia="zh-CN" w:bidi="ar"/>
              </w:rPr>
              <w:t>不得分，故此项得满分。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B2 债券资金使用情况</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B201 项目资金实际支出与债券资金总投入的比率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用以反映和考核资金使用管理情况。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Style w:val="13"/>
                <w:rFonts w:hint="eastAsia" w:ascii="宋体" w:hAnsi="宋体" w:eastAsia="仿宋_GB2312" w:cs="仿宋_GB2312"/>
                <w:color w:val="auto"/>
                <w:sz w:val="21"/>
                <w:szCs w:val="21"/>
                <w:lang w:val="en-US" w:eastAsia="zh-CN" w:bidi="ar"/>
              </w:rPr>
              <w:t>≧5</w:t>
            </w:r>
            <w:r>
              <w:rPr>
                <w:rFonts w:hint="eastAsia" w:ascii="宋体" w:hAnsi="宋体" w:eastAsia="仿宋_GB2312" w:cs="仿宋_GB2312"/>
                <w:i w:val="0"/>
                <w:iCs w:val="0"/>
                <w:color w:val="auto"/>
                <w:kern w:val="0"/>
                <w:sz w:val="21"/>
                <w:szCs w:val="21"/>
                <w:u w:val="none"/>
                <w:lang w:val="en-US" w:eastAsia="zh-CN" w:bidi="ar"/>
              </w:rPr>
              <w:t>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本项目①设立项目支出资金管理办法或配套办法②实施目的；实施内容及范围；分工及职责；</w:t>
            </w:r>
            <w:r>
              <w:rPr>
                <w:rStyle w:val="14"/>
                <w:rFonts w:hint="eastAsia" w:ascii="宋体" w:hAnsi="宋体" w:eastAsia="仿宋_GB2312" w:cs="仿宋_GB2312"/>
                <w:color w:val="auto"/>
                <w:sz w:val="21"/>
                <w:szCs w:val="21"/>
                <w:lang w:val="en-US" w:eastAsia="zh-CN" w:bidi="ar"/>
              </w:rPr>
              <w:t>➂</w:t>
            </w:r>
            <w:r>
              <w:rPr>
                <w:rFonts w:hint="eastAsia" w:ascii="宋体" w:hAnsi="宋体" w:eastAsia="仿宋_GB2312" w:cs="仿宋_GB2312"/>
                <w:i w:val="0"/>
                <w:iCs w:val="0"/>
                <w:color w:val="auto"/>
                <w:kern w:val="0"/>
                <w:sz w:val="21"/>
                <w:szCs w:val="21"/>
                <w:u w:val="none"/>
                <w:lang w:val="en-US" w:eastAsia="zh-CN" w:bidi="ar"/>
              </w:rPr>
              <w:t>资金流程管理，业务流程管理要求；➃监督检查管理、信息公示管理、应急机制、责任追究制度、档案资料管理制度等明确要求。</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 xml:space="preserve">以上四项项各占25%权重分，符合则得对应权重分。  </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根据项目单位提供的资金内控制度，但未对档案资料管理明确要求，故</w:t>
            </w:r>
            <w:r>
              <w:rPr>
                <w:rStyle w:val="14"/>
                <w:rFonts w:hint="eastAsia" w:ascii="宋体" w:hAnsi="宋体" w:eastAsia="仿宋_GB2312" w:cs="仿宋_GB2312"/>
                <w:color w:val="auto"/>
                <w:sz w:val="21"/>
                <w:szCs w:val="21"/>
                <w:lang w:val="en-US" w:eastAsia="zh-CN" w:bidi="ar"/>
              </w:rPr>
              <w:t>➃</w:t>
            </w:r>
            <w:r>
              <w:rPr>
                <w:rFonts w:hint="eastAsia" w:ascii="宋体" w:hAnsi="宋体" w:eastAsia="仿宋_GB2312" w:cs="仿宋_GB2312"/>
                <w:i w:val="0"/>
                <w:iCs w:val="0"/>
                <w:color w:val="auto"/>
                <w:kern w:val="0"/>
                <w:sz w:val="21"/>
                <w:szCs w:val="21"/>
                <w:u w:val="none"/>
                <w:lang w:val="en-US" w:eastAsia="zh-CN" w:bidi="ar"/>
              </w:rPr>
              <w:t>不得分，此项得分1.5分。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1.50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B202 预算资金（银行贷款、自有资金）与项目总投资的比率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用以反映和考核落实资金情况对项目实施的总体保障程度。</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Style w:val="13"/>
                <w:rFonts w:hint="eastAsia" w:ascii="宋体" w:hAnsi="宋体" w:eastAsia="仿宋_GB2312" w:cs="仿宋_GB2312"/>
                <w:color w:val="auto"/>
                <w:sz w:val="21"/>
                <w:szCs w:val="21"/>
                <w:lang w:val="en-US" w:eastAsia="zh-CN" w:bidi="ar"/>
              </w:rPr>
              <w:t>≧95</w:t>
            </w:r>
            <w:r>
              <w:rPr>
                <w:rFonts w:hint="eastAsia" w:ascii="宋体" w:hAnsi="宋体" w:eastAsia="仿宋_GB2312" w:cs="仿宋_GB2312"/>
                <w:i w:val="0"/>
                <w:iCs w:val="0"/>
                <w:color w:val="auto"/>
                <w:kern w:val="0"/>
                <w:sz w:val="21"/>
                <w:szCs w:val="21"/>
                <w:u w:val="none"/>
                <w:lang w:val="en-US" w:eastAsia="zh-CN" w:bidi="ar"/>
              </w:rPr>
              <w:t>%</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项目实施单位财务和业务管理部门是否制定专项债券资金使用计划；②相关资料（包括招投标文件、中标通知书、合同书、验收报告等）齐全；③项目实施的人员条件、场地设备、信息支撑等落实到位；④项目结束后，项目合同书、验收报告、技术鉴定等资料是否 齐全并归档管理；</w:t>
            </w:r>
            <w:r>
              <w:rPr>
                <w:rStyle w:val="14"/>
                <w:rFonts w:hint="eastAsia" w:ascii="宋体" w:hAnsi="宋体" w:eastAsia="仿宋_GB2312" w:cs="仿宋_GB2312"/>
                <w:color w:val="auto"/>
                <w:sz w:val="21"/>
                <w:szCs w:val="21"/>
                <w:lang w:val="en-US" w:eastAsia="zh-CN" w:bidi="ar"/>
              </w:rPr>
              <w:t>⑤</w:t>
            </w:r>
            <w:r>
              <w:rPr>
                <w:rFonts w:hint="eastAsia" w:ascii="宋体" w:hAnsi="宋体" w:eastAsia="仿宋_GB2312" w:cs="仿宋_GB2312"/>
                <w:i w:val="0"/>
                <w:iCs w:val="0"/>
                <w:color w:val="auto"/>
                <w:kern w:val="0"/>
                <w:sz w:val="21"/>
                <w:szCs w:val="21"/>
                <w:u w:val="none"/>
                <w:lang w:val="en-US" w:eastAsia="zh-CN" w:bidi="ar"/>
              </w:rPr>
              <w:t>项目实施的人员条件、场地设备、信息支撑等是否落实到位。</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以上五项项各占20%权重分，符合则得对应权重分。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根据项目平痕方案，财务报告及提供的相关性文件，因受疫情影响，本项目只在建设期同时信息支撑不全，故④和⑤不得分，此项得分1.6分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1.60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3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B203 管理制度健全性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考察项目实施单位的财务和业务管理制度是否健全，用以反映和考核财务和业务管理制度对项目顺利实施的保障情况。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健全</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本项目是否制定债券资金使用规范的相关制度。</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以上1项占100%权重分，符合要求则得对应权重分。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根据项目单位提供的资金管理制度，此项得满分2分。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B204 信息公开及时性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考察专项债券项目存续期期按要求在网站上进行信息公开。</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及时</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本项目是否在地方政府债券信息披露门户上及时披露。</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以上1项占100%权重分，符合要求则得对应权重分。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根据项目单位提供的国家重大项目录入系统，可知此项得满分2分。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47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 项目产出</w:t>
            </w: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36</w:t>
            </w: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C1 产出数量</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C101完成工程部分投资19428.76万元</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工程投资是否按计划完成</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完成工程部分投资19428.76万元的80%以上，得权重分，每下降2%，扣除权重分的5%，直到扣完为止。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C101 设备购置完成率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设备购置是否及时完成</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购置完成率≥80%，得权重分，每下降1%，扣除权重分的2%，直到扣完为止。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C102设备安装完成率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设备安装是否及时</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安装完成率≥80%，得权重分，每下降1%，扣除权重分的2%，直到扣完为止。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C2 产出质量</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C201 项目实际产出质量与预期或目标一致</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考察设备质量达标的情况。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设备质量全部达标，得权重分，每降低1%，扣除权重分25%，直到扣完为止。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C202采购材料达标率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考察材料质量达标的情况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材料质量全部达标，得权重分，每降低1%，扣除权重分10%，直到扣完为止。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C203项目阶段性验收质量要求</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3</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考察施工工程验收合格的情况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竣工工程数量全部达标，得权重分，每降低1%，扣除权重分20%，直到扣完为止。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因2022年疫情因素导致工期拖延，此项扣除0.5分。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C3 产出时效</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C301 工程是否及时开工</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考察工程开工的及时性</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及时</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按照合同及时采购得100%权重分，采购不及时1%，则扣除权重分2%，直到扣完为止。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本项目已于2021年开工，故此项得满分4.5分。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2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C302 项目按计划完成阶段性采购工作</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考察设备购置的及时性。</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及时</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按照合同及时采购得100%权重分，采购不及时1%，则扣除权重分2%，直到扣完为止。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因2022年疫情因素导致工期拖延，不能进行阶段性工作扣除2分，此项得分2分。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2.00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C4 产出成本</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6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C401 项目资本金安排的建设部分落实到位</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考察工程成本投入的经济性。</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≧98%</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购置所有设备实际成本在计划成本以内，得权重分，超出计划成本之外，每超出1%，扣除权重分的5%，直到扣完为止。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根据白山市浑江区人民政府出具的资本金来源说明，本项得满分4.5分。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4.50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6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C402 项目资金使用平衡率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4.5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考察专项债券项目建设成本的经济性。</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≧98%</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工程结算在计划总投资以内，得权重分，超出计划成本之外，每超出1%，扣除权重分的5%，直到扣完为止。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因2022年受疫因素情影响工期，此项扣除0.5分，得分4分。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trPr>
        <w:tc>
          <w:tcPr>
            <w:tcW w:w="47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 项目效益</w:t>
            </w: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24</w:t>
            </w: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D1 社会效益</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D101 新增就业率</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考察专项债券项目实施是否提升就业率</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项目实施后，当地就业率是否提升。就业率＞20%得满分，未有效增长就业率，每降低0.5%扣除10%的权重分，扣完为止。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根据微信访谈及当地社会政府工作报告，受疫情影响扣除1分，此项得分3.5分。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D2 经济效益</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D201项目实现预期收入113,244.97万元具有经济效益</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考察项目的收益能力</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98.00%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按照平衡方及财务评价报告达到预期收益超过98%得权重分，每降低5%，扣除相应权重分1%。</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项目建设阶段，未产生收益，但根据平衡方案及财务评价报告收益测算合理此项得分4分。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4.00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D3 生态效益</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D301 无涉及环保处罚</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是否对环境造成影响</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0.00%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项目实施后，对当地环境是否有损害，没发生一起，扣除20%权重，直到扣完为止。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根据微信访谈，本项目未对环境产生影响，故此项得满分5分。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5.00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D4 能力建设及可持续影响</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D401 沟通协调机制有效性</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反映是否对专项债项目进行长期有效的管理。</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健全</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本项目①建立健全的资源配置制度、潜在风险预测制度；②执行有效。</w:t>
            </w:r>
          </w:p>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①满足得40%权重分，否则该指标不得分。在①满足的基础上，②执行失效扣除相应权重分，直到扣完为止。</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根据项目单位提供资金管理制度但是未健全资源配置制度，此项扣除2分，得分3分。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3.00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D5 满意度</w:t>
            </w:r>
          </w:p>
        </w:tc>
        <w:tc>
          <w:tcPr>
            <w:tcW w:w="420"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9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c>
          <w:tcPr>
            <w:tcW w:w="479" w:type="pct"/>
            <w:tcBorders>
              <w:tl2br w:val="nil"/>
              <w:tr2bl w:val="nil"/>
            </w:tcBorders>
            <w:shd w:val="clear" w:color="auto" w:fill="auto"/>
            <w:vAlign w:val="center"/>
          </w:tcPr>
          <w:p>
            <w:pPr>
              <w:jc w:val="center"/>
              <w:rPr>
                <w:rFonts w:hint="eastAsia" w:ascii="宋体" w:hAnsi="宋体"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D501 使用人员满意度</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反映使用人员对工程项目的满意度情况。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使用人员满意度达到90%及以上得权重分，每下降1%扣除2%的权重分。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因受疫情影响，工期拖延，同时对问卷调查造成一定困难，此项扣除1分，得分1分。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1.00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0" w:hRule="atLeast"/>
        </w:trPr>
        <w:tc>
          <w:tcPr>
            <w:tcW w:w="47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jc w:val="left"/>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D502 政府部门人员满意度</w:t>
            </w: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2</w:t>
            </w:r>
          </w:p>
        </w:tc>
        <w:tc>
          <w:tcPr>
            <w:tcW w:w="49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反映政府部门人员对工程项目的满意度情况</w:t>
            </w:r>
          </w:p>
        </w:tc>
        <w:tc>
          <w:tcPr>
            <w:tcW w:w="34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100.00%</w:t>
            </w:r>
          </w:p>
        </w:tc>
        <w:tc>
          <w:tcPr>
            <w:tcW w:w="3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通用标准</w:t>
            </w:r>
          </w:p>
        </w:tc>
        <w:tc>
          <w:tcPr>
            <w:tcW w:w="1419"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kern w:val="0"/>
                <w:sz w:val="21"/>
                <w:szCs w:val="21"/>
                <w:u w:val="none"/>
                <w:lang w:val="en-US" w:eastAsia="zh-CN" w:bidi="ar"/>
              </w:rPr>
            </w:pPr>
            <w:r>
              <w:rPr>
                <w:rFonts w:hint="eastAsia" w:ascii="宋体" w:hAnsi="宋体" w:eastAsia="仿宋_GB2312" w:cs="仿宋_GB2312"/>
                <w:i w:val="0"/>
                <w:iCs w:val="0"/>
                <w:color w:val="auto"/>
                <w:kern w:val="0"/>
                <w:sz w:val="21"/>
                <w:szCs w:val="21"/>
                <w:u w:val="none"/>
                <w:lang w:val="en-US" w:eastAsia="zh-CN" w:bidi="ar"/>
              </w:rPr>
              <w:t>使用人员满意度达到90%及以上得权重分，每下降1%扣除2%的权重分。</w:t>
            </w:r>
          </w:p>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因受疫情影响，工期拖延，同时对问卷调查造成一定困难，此项扣除1分，得分1分。</w:t>
            </w: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 xml:space="preserve">1.00 </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合计</w:t>
            </w:r>
          </w:p>
        </w:tc>
        <w:tc>
          <w:tcPr>
            <w:tcW w:w="338"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420"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100</w:t>
            </w:r>
          </w:p>
        </w:tc>
        <w:tc>
          <w:tcPr>
            <w:tcW w:w="498"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343"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338"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1419" w:type="pct"/>
            <w:tcBorders>
              <w:tl2br w:val="nil"/>
              <w:tr2bl w:val="nil"/>
            </w:tcBorders>
            <w:shd w:val="clear" w:color="auto" w:fill="auto"/>
            <w:vAlign w:val="center"/>
          </w:tcPr>
          <w:p>
            <w:pPr>
              <w:rPr>
                <w:rFonts w:hint="eastAsia" w:ascii="宋体" w:hAnsi="宋体" w:eastAsia="仿宋_GB2312" w:cs="仿宋_GB2312"/>
                <w:i w:val="0"/>
                <w:iCs w:val="0"/>
                <w:color w:val="auto"/>
                <w:sz w:val="21"/>
                <w:szCs w:val="21"/>
                <w:u w:val="none"/>
              </w:rPr>
            </w:pPr>
          </w:p>
        </w:tc>
        <w:tc>
          <w:tcPr>
            <w:tcW w:w="3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83.23</w:t>
            </w:r>
          </w:p>
        </w:tc>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1"/>
                <w:szCs w:val="21"/>
                <w:u w:val="none"/>
              </w:rPr>
            </w:pPr>
            <w:r>
              <w:rPr>
                <w:rFonts w:hint="eastAsia" w:ascii="宋体" w:hAnsi="宋体" w:eastAsia="仿宋_GB2312" w:cs="仿宋_GB2312"/>
                <w:i w:val="0"/>
                <w:iCs w:val="0"/>
                <w:color w:val="auto"/>
                <w:kern w:val="0"/>
                <w:sz w:val="21"/>
                <w:szCs w:val="21"/>
                <w:u w:val="none"/>
                <w:lang w:val="en-US" w:eastAsia="zh-CN" w:bidi="ar"/>
              </w:rPr>
              <w:t>83.23%</w:t>
            </w:r>
          </w:p>
        </w:tc>
      </w:tr>
    </w:tbl>
    <w:p>
      <w:pPr>
        <w:numPr>
          <w:ilvl w:val="0"/>
          <w:numId w:val="0"/>
        </w:numPr>
        <w:rPr>
          <w:rFonts w:hint="default" w:ascii="宋体" w:hAnsi="宋体" w:eastAsia="仿宋_GB2312" w:cs="仿宋_GB2312"/>
          <w:sz w:val="32"/>
          <w:szCs w:val="32"/>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FD38E"/>
    <w:multiLevelType w:val="singleLevel"/>
    <w:tmpl w:val="B5FFD38E"/>
    <w:lvl w:ilvl="0" w:tentative="0">
      <w:start w:val="2"/>
      <w:numFmt w:val="chineseCounting"/>
      <w:suff w:val="nothing"/>
      <w:lvlText w:val="（%1）"/>
      <w:lvlJc w:val="left"/>
      <w:rPr>
        <w:rFonts w:hint="eastAsia"/>
      </w:rPr>
    </w:lvl>
  </w:abstractNum>
  <w:abstractNum w:abstractNumId="1">
    <w:nsid w:val="C31E182F"/>
    <w:multiLevelType w:val="singleLevel"/>
    <w:tmpl w:val="C31E182F"/>
    <w:lvl w:ilvl="0" w:tentative="0">
      <w:start w:val="2"/>
      <w:numFmt w:val="decimal"/>
      <w:suff w:val="nothing"/>
      <w:lvlText w:val="%1、"/>
      <w:lvlJc w:val="left"/>
    </w:lvl>
  </w:abstractNum>
  <w:abstractNum w:abstractNumId="2">
    <w:nsid w:val="D2D73191"/>
    <w:multiLevelType w:val="singleLevel"/>
    <w:tmpl w:val="D2D73191"/>
    <w:lvl w:ilvl="0" w:tentative="0">
      <w:start w:val="3"/>
      <w:numFmt w:val="chineseCounting"/>
      <w:suff w:val="nothing"/>
      <w:lvlText w:val="%1、"/>
      <w:lvlJc w:val="left"/>
      <w:rPr>
        <w:rFonts w:hint="eastAsia"/>
      </w:rPr>
    </w:lvl>
  </w:abstractNum>
  <w:abstractNum w:abstractNumId="3">
    <w:nsid w:val="0DED42E3"/>
    <w:multiLevelType w:val="singleLevel"/>
    <w:tmpl w:val="0DED42E3"/>
    <w:lvl w:ilvl="0" w:tentative="0">
      <w:start w:val="2"/>
      <w:numFmt w:val="chineseCounting"/>
      <w:suff w:val="nothing"/>
      <w:lvlText w:val="（%1）"/>
      <w:lvlJc w:val="left"/>
      <w:rPr>
        <w:rFonts w:hint="eastAsia"/>
      </w:rPr>
    </w:lvl>
  </w:abstractNum>
  <w:abstractNum w:abstractNumId="4">
    <w:nsid w:val="31AD2A58"/>
    <w:multiLevelType w:val="singleLevel"/>
    <w:tmpl w:val="31AD2A58"/>
    <w:lvl w:ilvl="0" w:tentative="0">
      <w:start w:val="1"/>
      <w:numFmt w:val="decimal"/>
      <w:suff w:val="nothing"/>
      <w:lvlText w:val="%1、"/>
      <w:lvlJc w:val="left"/>
    </w:lvl>
  </w:abstractNum>
  <w:abstractNum w:abstractNumId="5">
    <w:nsid w:val="6E26B8B1"/>
    <w:multiLevelType w:val="singleLevel"/>
    <w:tmpl w:val="6E26B8B1"/>
    <w:lvl w:ilvl="0" w:tentative="0">
      <w:start w:val="2"/>
      <w:numFmt w:val="decimal"/>
      <w:suff w:val="nothing"/>
      <w:lvlText w:val="%1、"/>
      <w:lvlJc w:val="left"/>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2JjNmQ2NTM3ZmU2NTdmMmJjYzY4YzYxNWI0MzQifQ=="/>
  </w:docVars>
  <w:rsids>
    <w:rsidRoot w:val="00000000"/>
    <w:rsid w:val="00F47A21"/>
    <w:rsid w:val="07A5713F"/>
    <w:rsid w:val="0888565B"/>
    <w:rsid w:val="08EA795F"/>
    <w:rsid w:val="0B684D8F"/>
    <w:rsid w:val="0C3B7874"/>
    <w:rsid w:val="0D466810"/>
    <w:rsid w:val="0DAF1039"/>
    <w:rsid w:val="0E065661"/>
    <w:rsid w:val="10060042"/>
    <w:rsid w:val="170358E5"/>
    <w:rsid w:val="1F6455CD"/>
    <w:rsid w:val="1FB337FE"/>
    <w:rsid w:val="2E2D36C4"/>
    <w:rsid w:val="2FC93A6E"/>
    <w:rsid w:val="307F675C"/>
    <w:rsid w:val="32E44C83"/>
    <w:rsid w:val="386B122A"/>
    <w:rsid w:val="3BF47AB3"/>
    <w:rsid w:val="3CB7061B"/>
    <w:rsid w:val="3CCB401F"/>
    <w:rsid w:val="3CCF5DD7"/>
    <w:rsid w:val="3E8F0BBD"/>
    <w:rsid w:val="3EF87358"/>
    <w:rsid w:val="43A70133"/>
    <w:rsid w:val="456F1DCB"/>
    <w:rsid w:val="472C6247"/>
    <w:rsid w:val="4BB025D9"/>
    <w:rsid w:val="4BC146A4"/>
    <w:rsid w:val="4C6F6E0F"/>
    <w:rsid w:val="51BC60F6"/>
    <w:rsid w:val="524F1A38"/>
    <w:rsid w:val="55932B7A"/>
    <w:rsid w:val="56441C5B"/>
    <w:rsid w:val="5901654E"/>
    <w:rsid w:val="5A4631F0"/>
    <w:rsid w:val="5E1D07CE"/>
    <w:rsid w:val="63995208"/>
    <w:rsid w:val="64E233A1"/>
    <w:rsid w:val="651C5DC1"/>
    <w:rsid w:val="669259E8"/>
    <w:rsid w:val="669C5461"/>
    <w:rsid w:val="66CE037E"/>
    <w:rsid w:val="69322B2E"/>
    <w:rsid w:val="69A0436D"/>
    <w:rsid w:val="6AAA3AEF"/>
    <w:rsid w:val="6C136D6D"/>
    <w:rsid w:val="76625E46"/>
    <w:rsid w:val="77150947"/>
    <w:rsid w:val="796C5CB8"/>
    <w:rsid w:val="79DD77BE"/>
    <w:rsid w:val="7A39523D"/>
    <w:rsid w:val="7A7344BE"/>
    <w:rsid w:val="7C3C2067"/>
    <w:rsid w:val="7D2560FA"/>
    <w:rsid w:val="7F041B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闻政表文字"/>
    <w:basedOn w:val="7"/>
    <w:qFormat/>
    <w:uiPriority w:val="5"/>
    <w:pPr>
      <w:widowControl/>
      <w:spacing w:line="320" w:lineRule="exact"/>
      <w:ind w:firstLine="0" w:firstLineChars="0"/>
      <w:jc w:val="center"/>
    </w:pPr>
    <w:rPr>
      <w:rFonts w:cs="宋体"/>
      <w:bCs/>
      <w:color w:val="000000"/>
      <w:sz w:val="22"/>
      <w:szCs w:val="22"/>
    </w:rPr>
  </w:style>
  <w:style w:type="paragraph" w:customStyle="1" w:styleId="7">
    <w:name w:val="闻政正文"/>
    <w:basedOn w:val="1"/>
    <w:qFormat/>
    <w:uiPriority w:val="0"/>
    <w:pPr>
      <w:spacing w:line="600" w:lineRule="exact"/>
      <w:ind w:firstLine="640" w:firstLineChars="200"/>
    </w:pPr>
    <w:rPr>
      <w:rFonts w:ascii="Times New Roman" w:hAnsi="Times New Roman" w:eastAsia="仿宋_GB2312" w:cs="Times New Roman"/>
      <w:kern w:val="0"/>
      <w:sz w:val="32"/>
      <w:szCs w:val="28"/>
      <w:lang w:val="zh-CN"/>
    </w:rPr>
  </w:style>
  <w:style w:type="paragraph" w:customStyle="1" w:styleId="8">
    <w:name w:val="闻政表"/>
    <w:basedOn w:val="1"/>
    <w:qFormat/>
    <w:uiPriority w:val="0"/>
    <w:pPr>
      <w:spacing w:before="60" w:after="60"/>
      <w:jc w:val="center"/>
    </w:pPr>
    <w:rPr>
      <w:rFonts w:ascii="Times New Roman" w:hAnsi="Times New Roman" w:eastAsia="仿宋_GB2312"/>
      <w:b/>
      <w:kern w:val="0"/>
      <w:sz w:val="24"/>
      <w:szCs w:val="28"/>
    </w:rPr>
  </w:style>
  <w:style w:type="character" w:customStyle="1" w:styleId="9">
    <w:name w:val="font51"/>
    <w:basedOn w:val="5"/>
    <w:qFormat/>
    <w:uiPriority w:val="0"/>
    <w:rPr>
      <w:rFonts w:hint="eastAsia" w:ascii="仿宋" w:hAnsi="仿宋" w:eastAsia="仿宋" w:cs="仿宋"/>
      <w:color w:val="000000"/>
      <w:sz w:val="22"/>
      <w:szCs w:val="22"/>
      <w:u w:val="none"/>
    </w:rPr>
  </w:style>
  <w:style w:type="character" w:customStyle="1" w:styleId="10">
    <w:name w:val="font41"/>
    <w:basedOn w:val="5"/>
    <w:qFormat/>
    <w:uiPriority w:val="0"/>
    <w:rPr>
      <w:rFonts w:hint="eastAsia" w:ascii="宋体" w:hAnsi="宋体" w:eastAsia="宋体" w:cs="宋体"/>
      <w:color w:val="000000"/>
      <w:sz w:val="22"/>
      <w:szCs w:val="22"/>
      <w:u w:val="none"/>
    </w:rPr>
  </w:style>
  <w:style w:type="character" w:customStyle="1" w:styleId="11">
    <w:name w:val="font31"/>
    <w:basedOn w:val="5"/>
    <w:qFormat/>
    <w:uiPriority w:val="0"/>
    <w:rPr>
      <w:rFonts w:hint="eastAsia" w:ascii="宋体" w:hAnsi="宋体" w:eastAsia="宋体" w:cs="宋体"/>
      <w:color w:val="000000"/>
      <w:sz w:val="22"/>
      <w:szCs w:val="22"/>
      <w:u w:val="none"/>
    </w:rPr>
  </w:style>
  <w:style w:type="character" w:customStyle="1" w:styleId="12">
    <w:name w:val="font91"/>
    <w:basedOn w:val="5"/>
    <w:qFormat/>
    <w:uiPriority w:val="0"/>
    <w:rPr>
      <w:rFonts w:ascii="MS Gothic" w:hAnsi="MS Gothic" w:eastAsia="MS Gothic" w:cs="MS Gothic"/>
      <w:color w:val="000000"/>
      <w:sz w:val="22"/>
      <w:szCs w:val="22"/>
      <w:u w:val="none"/>
    </w:rPr>
  </w:style>
  <w:style w:type="character" w:customStyle="1" w:styleId="13">
    <w:name w:val="font71"/>
    <w:basedOn w:val="5"/>
    <w:qFormat/>
    <w:uiPriority w:val="0"/>
    <w:rPr>
      <w:rFonts w:ascii="宋体" w:hAnsi="宋体" w:eastAsia="宋体" w:cs="宋体"/>
      <w:color w:val="000000"/>
      <w:sz w:val="22"/>
      <w:szCs w:val="22"/>
      <w:u w:val="none"/>
    </w:rPr>
  </w:style>
  <w:style w:type="character" w:customStyle="1" w:styleId="14">
    <w:name w:val="font101"/>
    <w:basedOn w:val="5"/>
    <w:qFormat/>
    <w:uiPriority w:val="0"/>
    <w:rPr>
      <w:rFonts w:hint="eastAsia" w:ascii="MS Gothic" w:hAnsi="MS Gothic" w:eastAsia="MS Gothic" w:cs="MS Gothic"/>
      <w:color w:val="000000"/>
      <w:sz w:val="22"/>
      <w:szCs w:val="22"/>
      <w:u w:val="none"/>
    </w:rPr>
  </w:style>
  <w:style w:type="paragraph" w:customStyle="1" w:styleId="15">
    <w:name w:val="WPSOffice手动目录 1"/>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11126</Words>
  <Characters>13931</Characters>
  <Lines>0</Lines>
  <Paragraphs>0</Paragraphs>
  <TotalTime>7</TotalTime>
  <ScaleCrop>false</ScaleCrop>
  <LinksUpToDate>false</LinksUpToDate>
  <CharactersWithSpaces>14156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2022-06-14T08:44:00Z</cp:lastPrinted>
  <dcterms:modified xsi:type="dcterms:W3CDTF">2022-06-27T07:35:24Z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6E9DCB3B8D824D7BA2A26958D0636267</vt:lpwstr>
  </property>
</Properties>
</file>