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contextualSpacing/>
        <w:rPr>
          <w:rFonts w:ascii="方正黑体简体" w:eastAsia="方正黑体简体"/>
          <w:color w:val="000000"/>
          <w:kern w:val="0"/>
          <w:szCs w:val="21"/>
        </w:rPr>
      </w:pPr>
      <w:r>
        <w:rPr>
          <w:rFonts w:ascii="方正黑体简体" w:eastAsia="方正黑体简体" w:hint="eastAsia"/>
          <w:color w:val="000000"/>
          <w:kern w:val="0"/>
          <w:szCs w:val="21"/>
        </w:rPr>
        <w:t>十届人大</w:t>
      </w:r>
      <w:r>
        <w:rPr>
          <w:rFonts w:ascii="方正黑体简体" w:eastAsia="方正黑体简体"/>
          <w:color w:val="000000"/>
          <w:kern w:val="0"/>
          <w:szCs w:val="21"/>
        </w:rPr>
        <w:t>五</w:t>
      </w:r>
      <w:r>
        <w:rPr>
          <w:rFonts w:ascii="方正黑体简体" w:eastAsia="方正黑体简体" w:hint="eastAsia"/>
          <w:color w:val="000000"/>
          <w:kern w:val="0"/>
          <w:szCs w:val="21"/>
        </w:rPr>
        <w:t>次会议文件（</w:t>
      </w:r>
      <w:r>
        <w:rPr>
          <w:rFonts w:ascii="方正黑体简体" w:eastAsia="方正黑体简体"/>
          <w:color w:val="000000"/>
          <w:kern w:val="0"/>
          <w:szCs w:val="21"/>
        </w:rPr>
        <w:t>14</w:t>
      </w:r>
      <w:r>
        <w:rPr>
          <w:rFonts w:ascii="方正黑体简体" w:eastAsia="方正黑体简体" w:hint="eastAsia"/>
          <w:color w:val="000000"/>
          <w:kern w:val="0"/>
          <w:szCs w:val="21"/>
        </w:rPr>
        <w:t>）</w:t>
      </w:r>
    </w:p>
    <w:p>
      <w:pPr>
        <w:adjustRightInd w:val="0"/>
        <w:snapToGrid w:val="0"/>
        <w:ind w:firstLineChars="100" w:firstLine="210"/>
        <w:contextualSpacing/>
        <w:rPr>
          <w:rFonts w:ascii="黑体" w:eastAsia="黑体"/>
          <w:color w:val="000000"/>
          <w:kern w:val="0"/>
          <w:szCs w:val="21"/>
        </w:rPr>
      </w:pPr>
    </w:p>
    <w:p>
      <w:pPr>
        <w:adjustRightInd w:val="0"/>
        <w:snapToGrid w:val="0"/>
        <w:contextualSpacing/>
        <w:rPr>
          <w:rFonts w:ascii="黑体" w:eastAsia="黑体"/>
          <w:color w:val="000000"/>
          <w:kern w:val="0"/>
          <w:szCs w:val="21"/>
        </w:rPr>
      </w:pPr>
    </w:p>
    <w:p>
      <w:pPr>
        <w:adjustRightInd w:val="0"/>
        <w:snapToGrid w:val="0"/>
        <w:contextualSpacing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关于白山市浑江区202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5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年财政预算执行情况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和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6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年财政预算(草案)的报告</w:t>
      </w:r>
    </w:p>
    <w:p>
      <w:pPr>
        <w:adjustRightInd w:val="0"/>
        <w:snapToGrid w:val="0"/>
        <w:contextualSpacing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>
      <w:pPr>
        <w:pStyle w:val="16"/>
        <w:ind w:leftChars="-50" w:left="-105" w:rightChars="-50" w:right="-105" w:firstLineChars="0" w:firstLine="0"/>
        <w:contextualSpacing/>
        <w:jc w:val="center"/>
        <w:rPr>
          <w:rFonts w:ascii="方正楷体简体" w:eastAsia="方正楷体简体"/>
          <w:spacing w:val="-6"/>
          <w:w w:val="90"/>
          <w:sz w:val="34"/>
          <w:szCs w:val="34"/>
        </w:rPr>
      </w:pP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202</w:t>
      </w:r>
      <w:r>
        <w:rPr>
          <w:rFonts w:ascii="方正楷体简体" w:eastAsia="方正楷体简体"/>
          <w:spacing w:val="-6"/>
          <w:w w:val="90"/>
          <w:sz w:val="34"/>
          <w:szCs w:val="34"/>
        </w:rPr>
        <w:t>5</w:t>
      </w: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年1</w:t>
      </w:r>
      <w:r>
        <w:rPr>
          <w:rFonts w:ascii="方正楷体简体" w:eastAsia="方正楷体简体" w:hint="eastAsia"/>
          <w:spacing w:val="-6"/>
          <w:w w:val="90"/>
          <w:sz w:val="34"/>
          <w:szCs w:val="34"/>
          <w:bdr w:val="none" w:sz="0" w:space="0" w:color="auto"/>
        </w:rPr>
        <w:t>2月</w:t>
      </w:r>
      <w:r>
        <w:rPr>
          <w:rFonts w:ascii="方正楷体简体" w:eastAsia="方正楷体简体"/>
          <w:spacing w:val="-6"/>
          <w:w w:val="90"/>
          <w:sz w:val="34"/>
          <w:szCs w:val="34"/>
          <w:bdr w:val="none" w:sz="0" w:space="0" w:color="auto"/>
        </w:rPr>
        <w:t>24</w:t>
      </w:r>
      <w:r>
        <w:rPr>
          <w:rFonts w:ascii="方正楷体简体" w:eastAsia="方正楷体简体" w:hint="eastAsia"/>
          <w:spacing w:val="-6"/>
          <w:w w:val="90"/>
          <w:sz w:val="34"/>
          <w:szCs w:val="34"/>
          <w:bdr w:val="none" w:sz="0" w:space="0" w:color="auto"/>
        </w:rPr>
        <w:t>日在白山</w:t>
      </w: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市浑江区第十届人民代表大会第</w:t>
      </w:r>
      <w:r>
        <w:rPr>
          <w:rFonts w:ascii="方正楷体简体" w:eastAsia="方正楷体简体"/>
          <w:spacing w:val="-6"/>
          <w:w w:val="90"/>
          <w:sz w:val="34"/>
          <w:szCs w:val="34"/>
        </w:rPr>
        <w:t>五</w:t>
      </w: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次会议上</w:t>
      </w:r>
    </w:p>
    <w:p>
      <w:pPr>
        <w:pStyle w:val="16"/>
        <w:ind w:firstLineChars="0" w:firstLine="0"/>
        <w:contextualSpacing/>
        <w:jc w:val="center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 xml:space="preserve">白山市浑江区财政局  </w:t>
      </w:r>
      <w:r>
        <w:rPr>
          <w:rFonts w:ascii="方正楷体简体" w:eastAsia="方正楷体简体"/>
          <w:sz w:val="34"/>
          <w:szCs w:val="34"/>
        </w:rPr>
        <w:t>丁浩宇</w:t>
      </w:r>
    </w:p>
    <w:p>
      <w:pPr>
        <w:pStyle w:val="16"/>
        <w:ind w:firstLineChars="0" w:firstLine="0"/>
        <w:contextualSpacing/>
        <w:jc w:val="center"/>
        <w:rPr>
          <w:rFonts w:eastAsia="楷体_GB2312"/>
          <w:sz w:val="34"/>
          <w:szCs w:val="34"/>
        </w:rPr>
      </w:pPr>
    </w:p>
    <w:p>
      <w:pPr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各位代表：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我受区政府委托，</w:t>
      </w:r>
      <w:r>
        <w:rPr>
          <w:rFonts w:ascii="方正仿宋简体" w:eastAsia="方正仿宋简体"/>
          <w:kern w:val="0"/>
          <w:sz w:val="34"/>
          <w:szCs w:val="34"/>
        </w:rPr>
        <w:t>向大会报告白山市浑江区</w:t>
      </w: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</w:t>
      </w:r>
      <w:r>
        <w:rPr>
          <w:rFonts w:ascii="方正仿宋简体" w:eastAsia="方正仿宋简体"/>
          <w:kern w:val="0"/>
          <w:sz w:val="34"/>
          <w:szCs w:val="34"/>
        </w:rPr>
        <w:t>财政</w:t>
      </w:r>
      <w:r>
        <w:rPr>
          <w:rFonts w:ascii="方正仿宋简体" w:eastAsia="方正仿宋简体" w:hint="eastAsia"/>
          <w:kern w:val="0"/>
          <w:sz w:val="34"/>
          <w:szCs w:val="34"/>
        </w:rPr>
        <w:t>预算执行情况</w:t>
      </w:r>
      <w:r>
        <w:rPr>
          <w:rFonts w:ascii="方正仿宋简体" w:eastAsia="方正仿宋简体"/>
          <w:kern w:val="0"/>
          <w:sz w:val="34"/>
          <w:szCs w:val="34"/>
        </w:rPr>
        <w:t>和</w:t>
      </w: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6</w:t>
      </w:r>
      <w:r>
        <w:rPr>
          <w:rFonts w:ascii="方正仿宋简体" w:eastAsia="方正仿宋简体" w:hint="eastAsia"/>
          <w:kern w:val="0"/>
          <w:sz w:val="34"/>
          <w:szCs w:val="34"/>
        </w:rPr>
        <w:t>年</w:t>
      </w:r>
      <w:r>
        <w:rPr>
          <w:rFonts w:ascii="方正仿宋简体" w:eastAsia="方正仿宋简体"/>
          <w:kern w:val="0"/>
          <w:sz w:val="34"/>
          <w:szCs w:val="34"/>
        </w:rPr>
        <w:t>财政</w:t>
      </w:r>
      <w:r>
        <w:rPr>
          <w:rFonts w:ascii="方正仿宋简体" w:eastAsia="方正仿宋简体" w:hint="eastAsia"/>
          <w:kern w:val="0"/>
          <w:sz w:val="34"/>
          <w:szCs w:val="34"/>
        </w:rPr>
        <w:t>预算（草案）</w:t>
      </w:r>
      <w:r>
        <w:rPr>
          <w:rFonts w:ascii="方正仿宋简体" w:eastAsia="方正仿宋简体"/>
          <w:kern w:val="0"/>
          <w:sz w:val="34"/>
          <w:szCs w:val="34"/>
        </w:rPr>
        <w:t>，请予审议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 w:cs="宋体" w:hint="eastAsia"/>
          <w:color w:val="333333"/>
          <w:kern w:val="0"/>
          <w:sz w:val="34"/>
          <w:szCs w:val="34"/>
        </w:rPr>
        <w:t>一、202</w:t>
      </w:r>
      <w:r>
        <w:rPr>
          <w:rFonts w:ascii="方正黑体简体" w:eastAsia="方正黑体简体" w:cs="宋体"/>
          <w:color w:val="333333"/>
          <w:kern w:val="0"/>
          <w:sz w:val="34"/>
          <w:szCs w:val="34"/>
        </w:rPr>
        <w:t>5</w:t>
      </w:r>
      <w:r>
        <w:rPr>
          <w:rFonts w:ascii="方正黑体简体" w:eastAsia="方正黑体简体" w:cs="宋体" w:hint="eastAsia"/>
          <w:color w:val="333333"/>
          <w:kern w:val="0"/>
          <w:sz w:val="34"/>
          <w:szCs w:val="34"/>
        </w:rPr>
        <w:t>年预算执行情况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年，</w:t>
      </w:r>
      <w:r>
        <w:rPr>
          <w:rFonts w:ascii="方正仿宋简体" w:eastAsia="方正仿宋简体"/>
          <w:kern w:val="0"/>
          <w:sz w:val="34"/>
          <w:szCs w:val="34"/>
        </w:rPr>
        <w:t>是圆满收官</w:t>
      </w:r>
      <w:r>
        <w:rPr>
          <w:rFonts w:ascii="方正仿宋简体" w:eastAsia="方正仿宋简体" w:hint="eastAsia"/>
          <w:kern w:val="0"/>
          <w:sz w:val="34"/>
          <w:szCs w:val="34"/>
        </w:rPr>
        <w:t>“十四五”规划</w:t>
      </w:r>
      <w:r>
        <w:rPr>
          <w:rFonts w:ascii="方正仿宋简体" w:eastAsia="方正仿宋简体"/>
          <w:kern w:val="0"/>
          <w:sz w:val="34"/>
          <w:szCs w:val="34"/>
        </w:rPr>
        <w:t>的决胜之年，是前瞻布局</w:t>
      </w:r>
      <w:r>
        <w:rPr>
          <w:rFonts w:ascii="方正仿宋简体" w:eastAsia="方正仿宋简体" w:hint="eastAsia"/>
          <w:kern w:val="0"/>
          <w:sz w:val="34"/>
          <w:szCs w:val="34"/>
        </w:rPr>
        <w:t>“十五五”</w:t>
      </w:r>
      <w:r>
        <w:rPr>
          <w:rFonts w:ascii="方正仿宋简体" w:eastAsia="方正仿宋简体"/>
          <w:kern w:val="0"/>
          <w:sz w:val="34"/>
          <w:szCs w:val="34"/>
        </w:rPr>
        <w:t>发展</w:t>
      </w:r>
      <w:r>
        <w:rPr>
          <w:rFonts w:ascii="方正仿宋简体" w:eastAsia="方正仿宋简体" w:hint="eastAsia"/>
          <w:kern w:val="0"/>
          <w:sz w:val="34"/>
          <w:szCs w:val="34"/>
        </w:rPr>
        <w:t>的关键之年</w:t>
      </w:r>
      <w:r>
        <w:rPr>
          <w:rFonts w:ascii="方正仿宋简体" w:eastAsia="方正仿宋简体"/>
          <w:kern w:val="0"/>
          <w:sz w:val="34"/>
          <w:szCs w:val="34"/>
        </w:rPr>
        <w:t>。在区委的坚强领导下，在区人大的依法监督下，财政部门</w:t>
      </w:r>
      <w:r>
        <w:rPr>
          <w:rFonts w:ascii="方正仿宋简体" w:eastAsia="方正仿宋简体"/>
          <w:sz w:val="34"/>
          <w:szCs w:val="34"/>
        </w:rPr>
        <w:t>以习近平新时代中国特色社会主义思想为指导，</w:t>
      </w:r>
      <w:r>
        <w:rPr>
          <w:rFonts w:ascii="方正仿宋简体" w:eastAsia="方正仿宋简体" w:hint="eastAsia"/>
          <w:sz w:val="34"/>
          <w:szCs w:val="34"/>
          <w:lang w:val="en-US" w:eastAsia="zh-CN"/>
        </w:rPr>
        <w:t>始终坚持稳中求进</w:t>
      </w:r>
      <w:r>
        <w:rPr>
          <w:rFonts w:ascii="方正仿宋简体" w:eastAsia="方正仿宋简体"/>
          <w:sz w:val="34"/>
          <w:szCs w:val="34"/>
          <w:lang w:val="en-US" w:eastAsia="zh-CN"/>
        </w:rPr>
        <w:t>工作</w:t>
      </w:r>
      <w:r>
        <w:rPr>
          <w:rFonts w:ascii="方正仿宋简体" w:eastAsia="方正仿宋简体" w:hint="eastAsia"/>
          <w:sz w:val="34"/>
          <w:szCs w:val="34"/>
          <w:lang w:val="en-US" w:eastAsia="zh-CN"/>
        </w:rPr>
        <w:t>总基调，</w:t>
      </w:r>
      <w:r>
        <w:rPr>
          <w:rFonts w:ascii="方正仿宋简体" w:eastAsia="方正仿宋简体"/>
          <w:sz w:val="34"/>
          <w:szCs w:val="34"/>
        </w:rPr>
        <w:t>强化财政资源统筹，深化零基预算改革，优化支出结构，提升资金使用效益和政策效能，从严防范化解地方债务风险，坚决兜实</w:t>
      </w:r>
      <w:r>
        <w:rPr>
          <w:rFonts w:ascii="方正仿宋简体" w:eastAsia="方正仿宋简体" w:hint="eastAsia"/>
          <w:sz w:val="34"/>
          <w:szCs w:val="34"/>
        </w:rPr>
        <w:t>“三保”底线</w:t>
      </w:r>
      <w:r>
        <w:rPr>
          <w:rFonts w:ascii="方正仿宋简体" w:eastAsia="方正仿宋简体"/>
          <w:sz w:val="34"/>
          <w:szCs w:val="34"/>
        </w:rPr>
        <w:t>，全力推动财政工作提质增效，</w:t>
      </w:r>
      <w:r>
        <w:rPr>
          <w:rFonts w:ascii="方正仿宋简体" w:eastAsia="方正仿宋简体"/>
          <w:kern w:val="0"/>
          <w:sz w:val="34"/>
          <w:szCs w:val="34"/>
        </w:rPr>
        <w:t>全年财政平稳运行，</w:t>
      </w:r>
      <w:r>
        <w:rPr>
          <w:rFonts w:ascii="方正仿宋简体" w:eastAsia="方正仿宋简体"/>
          <w:sz w:val="34"/>
          <w:szCs w:val="34"/>
        </w:rPr>
        <w:t>预算执行情况总体较好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（一）一般公共预算执行情况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收入情况：</w:t>
      </w:r>
      <w:r>
        <w:rPr>
          <w:rFonts w:ascii="方正仿宋简体" w:eastAsia="方正仿宋简体"/>
          <w:kern w:val="0"/>
          <w:sz w:val="34"/>
          <w:szCs w:val="34"/>
        </w:rPr>
        <w:t>2025年</w:t>
      </w:r>
      <w:r>
        <w:rPr>
          <w:rFonts w:ascii="方正仿宋简体" w:eastAsia="方正仿宋简体" w:hint="eastAsia"/>
          <w:kern w:val="0"/>
          <w:sz w:val="34"/>
          <w:szCs w:val="34"/>
        </w:rPr>
        <w:t>地方级财政收入预计完成</w:t>
      </w:r>
      <w:r>
        <w:rPr>
          <w:rFonts w:ascii="方正仿宋简体" w:eastAsia="方正仿宋简体"/>
          <w:kern w:val="0"/>
          <w:sz w:val="34"/>
          <w:szCs w:val="34"/>
        </w:rPr>
        <w:t>3.04亿</w:t>
      </w:r>
      <w:r>
        <w:rPr>
          <w:rFonts w:ascii="方正仿宋简体" w:eastAsia="方正仿宋简体" w:hint="eastAsia"/>
          <w:kern w:val="0"/>
          <w:sz w:val="34"/>
          <w:szCs w:val="34"/>
        </w:rPr>
        <w:t>元，同比增长</w:t>
      </w:r>
      <w:r>
        <w:rPr>
          <w:rFonts w:ascii="方正仿宋简体" w:eastAsia="方正仿宋简体"/>
          <w:kern w:val="0"/>
          <w:sz w:val="34"/>
          <w:szCs w:val="34"/>
        </w:rPr>
        <w:t>10</w:t>
      </w:r>
      <w:r>
        <w:rPr>
          <w:rFonts w:ascii="方正仿宋简体" w:eastAsia="方正仿宋简体" w:hint="eastAsia"/>
          <w:kern w:val="0"/>
          <w:sz w:val="34"/>
          <w:szCs w:val="34"/>
        </w:rPr>
        <w:t>%。</w:t>
      </w:r>
      <w:r>
        <w:rPr>
          <w:rFonts w:ascii="方正仿宋简体" w:eastAsia="方正仿宋简体"/>
          <w:kern w:val="0"/>
          <w:sz w:val="34"/>
          <w:szCs w:val="34"/>
        </w:rPr>
        <w:t>其中：税收收入预计完成2亿元，同比下降10.4%；非税收入预计完成1.04亿元，同比增长94.1%。上级补助收入预计完成16亿元、上年结转0.13亿元、一般债务转贷收入预计完成1.92亿元，浑江区一般公共预算收入预计完成21.09亿元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支出情况：</w:t>
      </w:r>
      <w:r>
        <w:rPr>
          <w:rFonts w:ascii="方正仿宋简体" w:eastAsia="方正仿宋简体"/>
          <w:kern w:val="0"/>
          <w:sz w:val="34"/>
          <w:szCs w:val="34"/>
        </w:rPr>
        <w:t>一般公共预算支出预计完成18.32亿元，同比下降19.9%。上解支出0.07亿元、调出资金预计完成0.34亿元、债务还本支出0.11亿元、年终结转2.25亿元，浑江区一般公共预算支出预计完成21.09亿元，一般公共</w:t>
      </w:r>
      <w:r>
        <w:rPr>
          <w:rFonts w:ascii="方正仿宋简体" w:eastAsia="方正仿宋简体" w:hint="eastAsia"/>
          <w:kern w:val="0"/>
          <w:sz w:val="34"/>
          <w:szCs w:val="34"/>
        </w:rPr>
        <w:t>预算</w:t>
      </w:r>
      <w:r>
        <w:rPr>
          <w:rFonts w:ascii="方正仿宋简体" w:eastAsia="方正仿宋简体"/>
          <w:kern w:val="0"/>
          <w:sz w:val="34"/>
          <w:szCs w:val="34"/>
        </w:rPr>
        <w:t>收支</w:t>
      </w:r>
      <w:r>
        <w:rPr>
          <w:rFonts w:ascii="方正仿宋简体" w:eastAsia="方正仿宋简体" w:hint="eastAsia"/>
          <w:kern w:val="0"/>
          <w:sz w:val="34"/>
          <w:szCs w:val="34"/>
        </w:rPr>
        <w:t>平衡。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（二）政府性基金预算执行情况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color w:val="000000"/>
          <w:sz w:val="34"/>
          <w:szCs w:val="34"/>
        </w:rPr>
        <w:t>收入情况：</w:t>
      </w:r>
      <w:r>
        <w:rPr>
          <w:rFonts w:ascii="方正仿宋简体" w:eastAsia="方正仿宋简体"/>
          <w:kern w:val="0"/>
          <w:sz w:val="34"/>
          <w:szCs w:val="34"/>
        </w:rPr>
        <w:t>2025年</w:t>
      </w:r>
      <w:r>
        <w:rPr>
          <w:rFonts w:ascii="方正仿宋简体" w:eastAsia="方正仿宋简体" w:hint="eastAsia"/>
          <w:kern w:val="0"/>
          <w:sz w:val="34"/>
          <w:szCs w:val="34"/>
        </w:rPr>
        <w:t>政</w:t>
      </w:r>
      <w:r>
        <w:rPr>
          <w:rFonts w:ascii="方正仿宋简体" w:eastAsia="方正仿宋简体" w:hint="eastAsia"/>
          <w:color w:val="000000"/>
          <w:sz w:val="34"/>
          <w:szCs w:val="34"/>
        </w:rPr>
        <w:t>府性基金预算收入预计完成</w:t>
      </w:r>
      <w:r>
        <w:rPr>
          <w:rFonts w:ascii="方正仿宋简体" w:eastAsia="方正仿宋简体"/>
          <w:color w:val="000000"/>
          <w:sz w:val="34"/>
          <w:szCs w:val="34"/>
        </w:rPr>
        <w:t>0.27亿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元、上级补助收入预计</w:t>
      </w:r>
      <w:r>
        <w:rPr>
          <w:rFonts w:ascii="方正仿宋简体" w:eastAsia="方正仿宋简体"/>
          <w:color w:val="000000"/>
          <w:sz w:val="34"/>
          <w:szCs w:val="34"/>
        </w:rPr>
        <w:t>完成1.04亿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元、上年结转</w:t>
      </w:r>
      <w:r>
        <w:rPr>
          <w:rFonts w:ascii="方正仿宋简体" w:eastAsia="方正仿宋简体"/>
          <w:color w:val="000000"/>
          <w:sz w:val="34"/>
          <w:szCs w:val="34"/>
        </w:rPr>
        <w:t>1.27亿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</w:t>
      </w:r>
      <w:r>
        <w:rPr>
          <w:rFonts w:ascii="方正仿宋简体" w:eastAsia="方正仿宋简体"/>
          <w:color w:val="000000"/>
          <w:sz w:val="34"/>
          <w:szCs w:val="34"/>
        </w:rPr>
        <w:t>调入资金预计0.34亿元、</w:t>
      </w:r>
      <w:r>
        <w:rPr>
          <w:rFonts w:ascii="方正仿宋简体" w:eastAsia="方正仿宋简体" w:hint="eastAsia"/>
          <w:color w:val="000000"/>
          <w:sz w:val="34"/>
          <w:szCs w:val="34"/>
        </w:rPr>
        <w:t>债券转贷收入</w:t>
      </w:r>
      <w:r>
        <w:rPr>
          <w:rFonts w:ascii="方正仿宋简体" w:eastAsia="方正仿宋简体"/>
          <w:color w:val="000000"/>
          <w:sz w:val="34"/>
          <w:szCs w:val="34"/>
        </w:rPr>
        <w:t>完成0.76亿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</w:t>
      </w:r>
      <w:r>
        <w:rPr>
          <w:rFonts w:ascii="方正仿宋简体" w:eastAsia="方正仿宋简体"/>
          <w:color w:val="000000"/>
          <w:sz w:val="34"/>
          <w:szCs w:val="34"/>
        </w:rPr>
        <w:t>，政府性基金预算总收入预计完成3.68亿元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cs="宋体" w:hint="eastAsia"/>
          <w:b/>
          <w:color w:val="000000"/>
          <w:kern w:val="0"/>
          <w:sz w:val="34"/>
          <w:szCs w:val="34"/>
        </w:rPr>
        <w:t>支出情况：</w:t>
      </w:r>
      <w:r>
        <w:rPr>
          <w:rFonts w:ascii="方正仿宋简体" w:eastAsia="方正仿宋简体" w:cs="宋体" w:hint="eastAsia"/>
          <w:color w:val="000000"/>
          <w:kern w:val="0"/>
          <w:sz w:val="34"/>
          <w:szCs w:val="34"/>
        </w:rPr>
        <w:t>政府性基金预算支出</w:t>
      </w:r>
      <w:r>
        <w:rPr>
          <w:rFonts w:ascii="方正仿宋简体" w:eastAsia="方正仿宋简体" w:hint="eastAsia"/>
          <w:color w:val="000000"/>
          <w:sz w:val="34"/>
          <w:szCs w:val="34"/>
        </w:rPr>
        <w:t>预计</w:t>
      </w:r>
      <w:r>
        <w:rPr>
          <w:rFonts w:ascii="方正仿宋简体" w:eastAsia="方正仿宋简体" w:cs="宋体" w:hint="eastAsia"/>
          <w:color w:val="000000"/>
          <w:kern w:val="0"/>
          <w:sz w:val="34"/>
          <w:szCs w:val="34"/>
        </w:rPr>
        <w:t>完成</w:t>
      </w:r>
      <w:r>
        <w:rPr>
          <w:rFonts w:ascii="方正仿宋简体" w:eastAsia="方正仿宋简体"/>
          <w:color w:val="000000"/>
          <w:sz w:val="34"/>
          <w:szCs w:val="34"/>
        </w:rPr>
        <w:t>2.03亿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</w:t>
      </w:r>
      <w:r>
        <w:rPr>
          <w:rFonts w:ascii="方正仿宋简体" w:eastAsia="方正仿宋简体" w:cs="宋体"/>
          <w:color w:val="000000"/>
          <w:kern w:val="0"/>
          <w:sz w:val="34"/>
          <w:szCs w:val="34"/>
        </w:rPr>
        <w:t>，</w:t>
      </w:r>
      <w:r>
        <w:rPr>
          <w:rFonts w:ascii="方正仿宋简体" w:eastAsia="方正仿宋简体" w:cs="宋体" w:hint="eastAsia"/>
          <w:color w:val="000000"/>
          <w:kern w:val="0"/>
          <w:sz w:val="34"/>
          <w:szCs w:val="34"/>
        </w:rPr>
        <w:t>结转下年</w:t>
      </w:r>
      <w:r>
        <w:rPr>
          <w:rFonts w:ascii="方正仿宋简体" w:eastAsia="方正仿宋简体" w:cs="宋体"/>
          <w:color w:val="000000"/>
          <w:kern w:val="0"/>
          <w:sz w:val="34"/>
          <w:szCs w:val="34"/>
        </w:rPr>
        <w:t>1.65亿</w:t>
      </w:r>
      <w:r>
        <w:rPr>
          <w:rFonts w:ascii="方正仿宋简体" w:eastAsia="方正仿宋简体" w:hint="eastAsia"/>
          <w:sz w:val="34"/>
          <w:szCs w:val="34"/>
        </w:rPr>
        <w:t>元</w:t>
      </w:r>
      <w:r>
        <w:rPr>
          <w:rFonts w:ascii="方正仿宋简体" w:eastAsia="方正仿宋简体"/>
          <w:color w:val="000000"/>
          <w:sz w:val="34"/>
          <w:szCs w:val="34"/>
        </w:rPr>
        <w:t>，政府性基金预算总支出预计完成3.68亿元</w:t>
      </w:r>
      <w:r>
        <w:rPr>
          <w:rFonts w:ascii="方正仿宋简体" w:eastAsia="方正仿宋简体"/>
          <w:sz w:val="34"/>
          <w:szCs w:val="34"/>
        </w:rPr>
        <w:t>，</w:t>
      </w:r>
      <w:r>
        <w:rPr>
          <w:rFonts w:ascii="方正仿宋简体" w:eastAsia="方正仿宋简体"/>
          <w:kern w:val="0"/>
          <w:sz w:val="34"/>
          <w:szCs w:val="34"/>
        </w:rPr>
        <w:t>政府性基金</w:t>
      </w:r>
      <w:r>
        <w:rPr>
          <w:rFonts w:ascii="方正仿宋简体" w:eastAsia="方正仿宋简体" w:hint="eastAsia"/>
          <w:kern w:val="0"/>
          <w:sz w:val="34"/>
          <w:szCs w:val="34"/>
        </w:rPr>
        <w:t>预算</w:t>
      </w:r>
      <w:r>
        <w:rPr>
          <w:rFonts w:ascii="方正仿宋简体" w:eastAsia="方正仿宋简体"/>
          <w:kern w:val="0"/>
          <w:sz w:val="34"/>
          <w:szCs w:val="34"/>
        </w:rPr>
        <w:t>收支</w:t>
      </w:r>
      <w:r>
        <w:rPr>
          <w:rFonts w:ascii="方正仿宋简体" w:eastAsia="方正仿宋简体" w:hint="eastAsia"/>
          <w:kern w:val="0"/>
          <w:sz w:val="34"/>
          <w:szCs w:val="34"/>
        </w:rPr>
        <w:t>平衡。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（三）社会保险基金预算执行情况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收入情况：</w:t>
      </w:r>
      <w:r>
        <w:rPr>
          <w:rFonts w:ascii="方正仿宋简体" w:eastAsia="方正仿宋简体"/>
          <w:kern w:val="0"/>
          <w:sz w:val="34"/>
          <w:szCs w:val="34"/>
        </w:rPr>
        <w:t>2025年</w:t>
      </w:r>
      <w:r>
        <w:rPr>
          <w:rFonts w:ascii="方正仿宋简体" w:eastAsia="方正仿宋简体" w:hint="eastAsia"/>
          <w:kern w:val="0"/>
          <w:sz w:val="34"/>
          <w:szCs w:val="34"/>
        </w:rPr>
        <w:t>社会保险基金预算收入预计完成</w:t>
      </w:r>
      <w:r>
        <w:rPr>
          <w:rFonts w:ascii="方正仿宋简体" w:eastAsia="方正仿宋简体"/>
          <w:kern w:val="0"/>
          <w:sz w:val="34"/>
          <w:szCs w:val="34"/>
        </w:rPr>
        <w:t>3.34亿</w:t>
      </w:r>
      <w:r>
        <w:rPr>
          <w:rFonts w:ascii="方正仿宋简体" w:eastAsia="方正仿宋简体" w:hint="eastAsia"/>
          <w:kern w:val="0"/>
          <w:sz w:val="34"/>
          <w:szCs w:val="34"/>
        </w:rPr>
        <w:t>元</w:t>
      </w:r>
      <w:r>
        <w:rPr>
          <w:rFonts w:ascii="方正仿宋简体" w:eastAsia="方正仿宋简体"/>
          <w:kern w:val="0"/>
          <w:sz w:val="34"/>
          <w:szCs w:val="34"/>
        </w:rPr>
        <w:t>、</w:t>
      </w:r>
      <w:r>
        <w:rPr>
          <w:rFonts w:ascii="方正仿宋简体" w:eastAsia="方正仿宋简体" w:hint="eastAsia"/>
          <w:kern w:val="0"/>
          <w:sz w:val="34"/>
          <w:szCs w:val="34"/>
        </w:rPr>
        <w:t>上年</w:t>
      </w:r>
      <w:r>
        <w:rPr>
          <w:rFonts w:ascii="方正仿宋简体" w:eastAsia="方正仿宋简体" w:hint="eastAsia"/>
          <w:sz w:val="34"/>
          <w:szCs w:val="34"/>
        </w:rPr>
        <w:t>结</w:t>
      </w:r>
      <w:r>
        <w:rPr>
          <w:rFonts w:ascii="方正仿宋简体" w:eastAsia="方正仿宋简体"/>
          <w:sz w:val="34"/>
          <w:szCs w:val="34"/>
        </w:rPr>
        <w:t>转</w:t>
      </w:r>
      <w:r>
        <w:rPr>
          <w:rFonts w:ascii="方正仿宋简体" w:eastAsia="方正仿宋简体"/>
          <w:kern w:val="0"/>
          <w:sz w:val="34"/>
          <w:szCs w:val="34"/>
        </w:rPr>
        <w:t>0.32亿</w:t>
      </w:r>
      <w:r>
        <w:rPr>
          <w:rFonts w:ascii="方正仿宋简体" w:eastAsia="方正仿宋简体" w:hint="eastAsia"/>
          <w:kern w:val="0"/>
          <w:sz w:val="34"/>
          <w:szCs w:val="34"/>
        </w:rPr>
        <w:t>元</w:t>
      </w:r>
      <w:r>
        <w:rPr>
          <w:rFonts w:ascii="方正仿宋简体" w:eastAsia="方正仿宋简体"/>
          <w:kern w:val="0"/>
          <w:sz w:val="34"/>
          <w:szCs w:val="34"/>
        </w:rPr>
        <w:t>，社会保险基金预算收入预计完成3.66亿元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color w:val="000000"/>
          <w:kern w:val="0"/>
          <w:sz w:val="34"/>
          <w:szCs w:val="34"/>
        </w:rPr>
        <w:t>支出情况：</w:t>
      </w:r>
      <w:r>
        <w:rPr>
          <w:rFonts w:ascii="方正仿宋简体" w:eastAsia="方正仿宋简体"/>
          <w:kern w:val="0"/>
          <w:sz w:val="34"/>
          <w:szCs w:val="34"/>
        </w:rPr>
        <w:t>2025年</w:t>
      </w:r>
      <w:r>
        <w:rPr>
          <w:rFonts w:ascii="方正仿宋简体" w:eastAsia="方正仿宋简体" w:hint="eastAsia"/>
          <w:color w:val="000000"/>
          <w:kern w:val="0"/>
          <w:sz w:val="34"/>
          <w:szCs w:val="34"/>
        </w:rPr>
        <w:t>社会保险基金预算支出</w:t>
      </w:r>
      <w:r>
        <w:rPr>
          <w:rFonts w:ascii="方正仿宋简体" w:eastAsia="方正仿宋简体" w:hint="eastAsia"/>
          <w:kern w:val="0"/>
          <w:sz w:val="34"/>
          <w:szCs w:val="34"/>
        </w:rPr>
        <w:t>预计</w:t>
      </w:r>
      <w:r>
        <w:rPr>
          <w:rFonts w:ascii="方正仿宋简体" w:eastAsia="方正仿宋简体"/>
          <w:kern w:val="0"/>
          <w:sz w:val="34"/>
          <w:szCs w:val="34"/>
        </w:rPr>
        <w:t>完成</w:t>
      </w:r>
      <w:r>
        <w:rPr>
          <w:rFonts w:ascii="方正仿宋简体" w:eastAsia="方正仿宋简体"/>
          <w:color w:val="000000"/>
          <w:kern w:val="0"/>
          <w:sz w:val="34"/>
          <w:szCs w:val="34"/>
        </w:rPr>
        <w:t>3.41亿</w:t>
      </w:r>
      <w:r>
        <w:rPr>
          <w:rFonts w:ascii="方正仿宋简体" w:eastAsia="方正仿宋简体" w:hint="eastAsia"/>
          <w:color w:val="000000"/>
          <w:kern w:val="0"/>
          <w:sz w:val="34"/>
          <w:szCs w:val="34"/>
        </w:rPr>
        <w:t>元</w:t>
      </w:r>
      <w:r>
        <w:rPr>
          <w:rFonts w:ascii="方正仿宋简体" w:eastAsia="方正仿宋简体"/>
          <w:color w:val="000000"/>
          <w:kern w:val="0"/>
          <w:sz w:val="34"/>
          <w:szCs w:val="34"/>
        </w:rPr>
        <w:t>、</w:t>
      </w:r>
      <w:r>
        <w:rPr>
          <w:rFonts w:ascii="方正仿宋简体" w:eastAsia="方正仿宋简体" w:hint="eastAsia"/>
          <w:sz w:val="34"/>
          <w:szCs w:val="34"/>
        </w:rPr>
        <w:t>滚存结余</w:t>
      </w:r>
      <w:r>
        <w:rPr>
          <w:rFonts w:ascii="方正仿宋简体" w:eastAsia="方正仿宋简体"/>
          <w:sz w:val="34"/>
          <w:szCs w:val="34"/>
        </w:rPr>
        <w:t>结转下年0.25亿</w:t>
      </w:r>
      <w:r>
        <w:rPr>
          <w:rFonts w:ascii="方正仿宋简体" w:eastAsia="方正仿宋简体" w:hint="eastAsia"/>
          <w:sz w:val="34"/>
          <w:szCs w:val="34"/>
        </w:rPr>
        <w:t>元</w:t>
      </w:r>
      <w:r>
        <w:rPr>
          <w:rFonts w:ascii="方正仿宋简体" w:eastAsia="方正仿宋简体"/>
          <w:sz w:val="34"/>
          <w:szCs w:val="34"/>
        </w:rPr>
        <w:t>，社会保险基金支出预计完成3.66亿元，</w:t>
      </w:r>
      <w:r>
        <w:rPr>
          <w:rFonts w:ascii="方正仿宋简体" w:eastAsia="方正仿宋简体"/>
          <w:kern w:val="0"/>
          <w:sz w:val="34"/>
          <w:szCs w:val="34"/>
        </w:rPr>
        <w:t>社会保险基金</w:t>
      </w:r>
      <w:r>
        <w:rPr>
          <w:rFonts w:ascii="方正仿宋简体" w:eastAsia="方正仿宋简体" w:hint="eastAsia"/>
          <w:kern w:val="0"/>
          <w:sz w:val="34"/>
          <w:szCs w:val="34"/>
        </w:rPr>
        <w:t>预算</w:t>
      </w:r>
      <w:r>
        <w:rPr>
          <w:rFonts w:ascii="方正仿宋简体" w:eastAsia="方正仿宋简体"/>
          <w:kern w:val="0"/>
          <w:sz w:val="34"/>
          <w:szCs w:val="34"/>
        </w:rPr>
        <w:t>收支</w:t>
      </w:r>
      <w:r>
        <w:rPr>
          <w:rFonts w:ascii="方正仿宋简体" w:eastAsia="方正仿宋简体" w:hint="eastAsia"/>
          <w:kern w:val="0"/>
          <w:sz w:val="34"/>
          <w:szCs w:val="34"/>
        </w:rPr>
        <w:t>平衡。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（四）地方政府债务情况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color w:val="000000"/>
          <w:sz w:val="34"/>
          <w:szCs w:val="34"/>
        </w:rPr>
        <w:t>202</w:t>
      </w:r>
      <w:r>
        <w:rPr>
          <w:rFonts w:ascii="方正仿宋简体" w:eastAsia="方正仿宋简体"/>
          <w:color w:val="000000"/>
          <w:sz w:val="34"/>
          <w:szCs w:val="34"/>
        </w:rPr>
        <w:t>5</w:t>
      </w:r>
      <w:r>
        <w:rPr>
          <w:rFonts w:ascii="方正仿宋简体" w:eastAsia="方正仿宋简体" w:hint="eastAsia"/>
          <w:color w:val="000000"/>
          <w:sz w:val="34"/>
          <w:szCs w:val="34"/>
        </w:rPr>
        <w:t>年新增地方政府一般债券收入</w:t>
      </w:r>
      <w:r>
        <w:rPr>
          <w:rFonts w:ascii="方正仿宋简体" w:eastAsia="方正仿宋简体"/>
          <w:color w:val="000000"/>
          <w:sz w:val="34"/>
          <w:szCs w:val="34"/>
        </w:rPr>
        <w:t>1.92亿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元，新增地方政府专项债券收入</w:t>
      </w:r>
      <w:r>
        <w:rPr>
          <w:rFonts w:ascii="方正仿宋简体" w:eastAsia="方正仿宋简体"/>
          <w:color w:val="000000"/>
          <w:sz w:val="34"/>
          <w:szCs w:val="34"/>
        </w:rPr>
        <w:t>0.7亿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元，再融资债券收入</w:t>
      </w:r>
      <w:r>
        <w:rPr>
          <w:rFonts w:ascii="方正仿宋简体" w:eastAsia="方正仿宋简体"/>
          <w:color w:val="000000"/>
          <w:sz w:val="34"/>
          <w:szCs w:val="34"/>
        </w:rPr>
        <w:t>0.06亿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元。预计202</w:t>
      </w:r>
      <w:r>
        <w:rPr>
          <w:rFonts w:ascii="方正仿宋简体" w:eastAsia="方正仿宋简体"/>
          <w:color w:val="000000"/>
          <w:sz w:val="34"/>
          <w:szCs w:val="34"/>
        </w:rPr>
        <w:t>5</w:t>
      </w:r>
      <w:r>
        <w:rPr>
          <w:rFonts w:ascii="方正仿宋简体" w:eastAsia="方正仿宋简体" w:hint="eastAsia"/>
          <w:color w:val="000000"/>
          <w:sz w:val="34"/>
          <w:szCs w:val="34"/>
        </w:rPr>
        <w:t>年末，地方政府债务余额</w:t>
      </w:r>
      <w:r>
        <w:rPr>
          <w:rFonts w:ascii="方正仿宋简体" w:eastAsia="方正仿宋简体"/>
          <w:color w:val="000000"/>
          <w:sz w:val="34"/>
          <w:szCs w:val="34"/>
        </w:rPr>
        <w:t>57.34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亿元，其中：法定债务余额</w:t>
      </w:r>
      <w:r>
        <w:rPr>
          <w:rFonts w:ascii="方正仿宋简体" w:eastAsia="方正仿宋简体"/>
          <w:color w:val="000000"/>
          <w:sz w:val="34"/>
          <w:szCs w:val="34"/>
        </w:rPr>
        <w:t>53.94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亿元，</w:t>
      </w:r>
      <w:r>
        <w:rPr>
          <w:rFonts w:ascii="方正仿宋简体" w:eastAsia="方正仿宋简体"/>
          <w:color w:val="000000"/>
          <w:sz w:val="34"/>
          <w:szCs w:val="34"/>
        </w:rPr>
        <w:t>控制在债务限额54.12亿元以内，</w:t>
      </w:r>
      <w:r>
        <w:rPr>
          <w:rFonts w:ascii="方正仿宋简体" w:eastAsia="方正仿宋简体" w:hint="eastAsia"/>
          <w:color w:val="000000"/>
          <w:sz w:val="34"/>
          <w:szCs w:val="34"/>
        </w:rPr>
        <w:t>隐性债务余额</w:t>
      </w:r>
      <w:r>
        <w:rPr>
          <w:rFonts w:ascii="方正仿宋简体" w:eastAsia="方正仿宋简体"/>
          <w:color w:val="000000"/>
          <w:sz w:val="34"/>
          <w:szCs w:val="34"/>
        </w:rPr>
        <w:t>3.4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</w:t>
      </w:r>
      <w:r>
        <w:rPr>
          <w:rFonts w:ascii="方正仿宋简体" w:eastAsia="方正仿宋简体"/>
          <w:color w:val="000000"/>
          <w:sz w:val="34"/>
          <w:szCs w:val="34"/>
        </w:rPr>
        <w:t>，</w:t>
      </w:r>
      <w:r>
        <w:rPr>
          <w:rFonts w:ascii="方正仿宋简体" w:eastAsia="方正仿宋简体" w:hint="eastAsia"/>
          <w:color w:val="000000"/>
          <w:sz w:val="34"/>
          <w:szCs w:val="34"/>
        </w:rPr>
        <w:t>债务风险</w:t>
      </w:r>
      <w:r>
        <w:rPr>
          <w:rFonts w:ascii="方正仿宋简体" w:eastAsia="方正仿宋简体"/>
          <w:color w:val="000000"/>
          <w:sz w:val="34"/>
          <w:szCs w:val="34"/>
        </w:rPr>
        <w:t>总体</w:t>
      </w:r>
      <w:r>
        <w:rPr>
          <w:rFonts w:ascii="方正仿宋简体" w:eastAsia="方正仿宋简体" w:hint="eastAsia"/>
          <w:color w:val="000000"/>
          <w:sz w:val="34"/>
          <w:szCs w:val="34"/>
        </w:rPr>
        <w:t>处于可控范围</w:t>
      </w:r>
      <w:r>
        <w:rPr>
          <w:rFonts w:ascii="方正仿宋简体" w:eastAsia="方正仿宋简体"/>
          <w:color w:val="000000"/>
          <w:sz w:val="34"/>
          <w:szCs w:val="34"/>
        </w:rPr>
        <w:t>之内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</w:p>
    <w:p>
      <w:pPr>
        <w:ind w:firstLineChars="200" w:firstLine="680"/>
        <w:rPr>
          <w:rFonts w:ascii="方正黑体简体" w:eastAsia="方正黑体简体"/>
          <w:kern w:val="0"/>
          <w:sz w:val="34"/>
          <w:szCs w:val="34"/>
        </w:rPr>
      </w:pPr>
      <w:r>
        <w:rPr>
          <w:rFonts w:ascii="方正黑体简体" w:eastAsia="方正黑体简体" w:hint="eastAsia"/>
          <w:kern w:val="0"/>
          <w:sz w:val="34"/>
          <w:szCs w:val="34"/>
        </w:rPr>
        <w:t>二、202</w:t>
      </w:r>
      <w:r>
        <w:rPr>
          <w:rFonts w:ascii="方正黑体简体" w:eastAsia="方正黑体简体"/>
          <w:kern w:val="0"/>
          <w:sz w:val="34"/>
          <w:szCs w:val="34"/>
        </w:rPr>
        <w:t>5</w:t>
      </w:r>
      <w:r>
        <w:rPr>
          <w:rFonts w:ascii="方正黑体简体" w:eastAsia="方正黑体简体" w:hint="eastAsia"/>
          <w:kern w:val="0"/>
          <w:sz w:val="34"/>
          <w:szCs w:val="34"/>
        </w:rPr>
        <w:t>年预算执行和管理的重点工作</w:t>
      </w:r>
    </w:p>
    <w:p>
      <w:pPr>
        <w:shd w:val="clear" w:color="auto" w:fill="FFFFFF"/>
        <w:ind w:firstLine="63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</w:t>
      </w:r>
      <w:r>
        <w:rPr>
          <w:rFonts w:ascii="方正楷体简体" w:eastAsia="方正楷体简体" w:hint="eastAsia"/>
          <w:sz w:val="34"/>
          <w:szCs w:val="34"/>
          <w:lang w:eastAsia="zh-CN"/>
        </w:rPr>
        <w:t>加大财政政策调节力度，打好政策组合拳</w:t>
      </w:r>
    </w:p>
    <w:p>
      <w:pPr>
        <w:shd w:val="clear" w:color="auto" w:fill="FFFFFF"/>
        <w:ind w:firstLineChars="200" w:firstLine="680"/>
        <w:rPr>
          <w:rFonts w:ascii="方正仿宋简体" w:eastAsia="方正仿宋简体"/>
          <w:color w:val="000000"/>
          <w:sz w:val="34"/>
          <w:szCs w:val="34"/>
          <w:bdr w:val="none" w:sz="0" w:space="0" w:color="auto"/>
        </w:rPr>
      </w:pP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一是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全力以赴挖掘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“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增量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”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面对严峻的经济形势，加强与税务等部门的密切配合</w:t>
      </w:r>
      <w:r>
        <w:rPr>
          <w:rFonts w:ascii="方正仿宋简体" w:eastAsia="方正仿宋简体"/>
          <w:bCs/>
          <w:color w:val="000000"/>
          <w:sz w:val="34"/>
          <w:szCs w:val="34"/>
          <w:bdr w:val="none" w:sz="0" w:space="0" w:color="auto"/>
        </w:rPr>
        <w:t>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协调联动，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  <w:lang w:val="en-US" w:eastAsia="zh-CN"/>
        </w:rPr>
        <w:t>紧盯主体税种、重点税源，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强化收入征管，</w:t>
      </w:r>
      <w:r>
        <w:rPr>
          <w:rFonts w:ascii="方正仿宋简体" w:eastAsia="方正仿宋简体"/>
          <w:color w:val="000000"/>
          <w:sz w:val="34"/>
          <w:szCs w:val="34"/>
        </w:rPr>
        <w:t>规范征管行为，持续关注行政事业性收费、专项和罚没收入等办理进度，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疏通财政“进水口”，确保财政收入及时入库。</w:t>
      </w:r>
      <w:r>
        <w:rPr>
          <w:rFonts w:ascii="方正仿宋简体" w:eastAsia="方正仿宋简体"/>
          <w:bCs/>
          <w:color w:val="000000"/>
          <w:sz w:val="34"/>
          <w:szCs w:val="34"/>
          <w:bdr w:val="none" w:sz="0" w:space="0" w:color="auto"/>
        </w:rPr>
        <w:t>全年地方级财政收入实现10%的增幅。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二是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凝聚合力争取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“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变量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”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。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紧盯中央和省政策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的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资金支持方向，超前谋划，主动出击，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</w:rPr>
        <w:t>加大项目资金争取力度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eastAsia="zh-CN"/>
        </w:rPr>
        <w:t>，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全力向上争取资金，全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年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预计争取上级各类转移支付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及债券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资金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19.72亿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元，缓解了地方财政压力。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三是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千方百计盘活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“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存量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”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加大对结转结余资金、实有账户资金的清理盘活力度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</w:rPr>
        <w:t>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全年共清理盘活资金0.39亿元，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  <w:lang w:val="en-US" w:eastAsia="zh-CN" w:bidi="ar-SA"/>
          <w:highlight w:val="auto"/>
        </w:rPr>
        <w:t>精准掌握各类资产底数、使用状况等基本情况，科学制定盘活计划和任务清单，研究资产盘活有效路径</w:t>
      </w:r>
      <w:r>
        <w:rPr>
          <w:rFonts w:ascii="方正仿宋简体" w:eastAsia="方正仿宋简体"/>
          <w:bCs/>
          <w:color w:val="000000"/>
          <w:sz w:val="34"/>
          <w:szCs w:val="34"/>
          <w:bdr w:val="none" w:sz="0" w:space="0" w:color="auto"/>
          <w:lang w:val="en-US" w:eastAsia="zh-CN" w:bidi="ar-SA"/>
          <w:highlight w:val="auto"/>
        </w:rPr>
        <w:t>，2025年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盘活农村供水及配套升级改造项目0.56亿元，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用于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弥补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“三保”财力缺口和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区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委、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val="en-US" w:eastAsia="zh-CN"/>
        </w:rPr>
        <w:t>区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val="en-US" w:eastAsia="zh-CN"/>
        </w:rPr>
        <w:t>政府确定的重点任务。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四是精打细算严控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“</w:t>
      </w:r>
      <w:r>
        <w:rPr>
          <w:rFonts w:ascii="方正仿宋简体" w:eastAsia="方正仿宋简体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总量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val="en-US" w:eastAsia="zh-CN"/>
        </w:rPr>
        <w:t>”。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</w:rPr>
        <w:t>树牢“过紧日子”思想，坚持厉行节约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</w:rPr>
        <w:t>，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</w:rPr>
        <w:t>从严控制一般性支出，硬化预算执行刚性约束，加强“三公”经费预算管理，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eastAsia="zh-CN"/>
        </w:rPr>
        <w:t>截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  <w:lang w:eastAsia="zh-CN"/>
        </w:rPr>
        <w:t>至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  <w:lang w:eastAsia="zh-CN"/>
        </w:rPr>
        <w:t>目前，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</w:rPr>
        <w:t>一般性支出共压减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</w:rPr>
        <w:t>1,136</w:t>
      </w:r>
      <w:r>
        <w:rPr>
          <w:rFonts w:ascii="方正仿宋简体" w:eastAsia="方正仿宋简体" w:hint="eastAsia"/>
          <w:color w:val="000000"/>
          <w:sz w:val="34"/>
          <w:szCs w:val="34"/>
          <w:bdr w:val="none" w:sz="0" w:space="0" w:color="auto"/>
        </w:rPr>
        <w:t>万元。</w:t>
      </w:r>
    </w:p>
    <w:p>
      <w:pPr>
        <w:shd w:val="clear" w:color="auto" w:fill="FFFFFF"/>
        <w:ind w:firstLineChars="200" w:firstLine="680"/>
        <w:rPr>
          <w:rFonts w:ascii="方正楷体简体" w:eastAsia="方正楷体简体"/>
          <w:color w:val="000000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（二）</w:t>
      </w:r>
      <w:r>
        <w:rPr>
          <w:rFonts w:ascii="方正楷体简体" w:eastAsia="方正楷体简体" w:hint="eastAsia"/>
          <w:sz w:val="34"/>
          <w:szCs w:val="34"/>
          <w:lang w:eastAsia="zh-CN"/>
        </w:rPr>
        <w:t>强化重点领域资金保障，统筹兼顾惠民生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一是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始终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坚持“三保”优先原则。</w:t>
      </w:r>
      <w:r>
        <w:rPr>
          <w:rFonts w:ascii="方正仿宋简体" w:eastAsia="方正仿宋简体"/>
          <w:color w:val="000000"/>
          <w:sz w:val="34"/>
          <w:szCs w:val="34"/>
          <w:bdr w:val="none" w:sz="0" w:space="0" w:color="auto"/>
        </w:rPr>
        <w:t>坚决按照国家、省、市要求，将</w:t>
      </w:r>
      <w:r>
        <w:rPr>
          <w:rFonts w:ascii="方正仿宋简体" w:eastAsia="方正仿宋简体" w:hint="eastAsia"/>
          <w:color w:val="000000"/>
          <w:sz w:val="34"/>
          <w:szCs w:val="34"/>
        </w:rPr>
        <w:t>“三保”</w:t>
      </w:r>
      <w:r>
        <w:rPr>
          <w:rFonts w:ascii="方正仿宋简体" w:eastAsia="方正仿宋简体"/>
          <w:color w:val="000000"/>
          <w:sz w:val="34"/>
          <w:szCs w:val="34"/>
        </w:rPr>
        <w:t>摆在首位。围绕落实财政事权和支出责任，加强预算资金统筹能力，及时调整支出用途，有保有压、合理安排、动态调整。</w:t>
      </w:r>
      <w:r>
        <w:rPr>
          <w:rFonts w:ascii="方正仿宋简体" w:eastAsia="方正仿宋简体" w:hint="eastAsia"/>
          <w:color w:val="000000"/>
          <w:sz w:val="34"/>
          <w:szCs w:val="34"/>
        </w:rPr>
        <w:t>全年安排“三保”支出</w:t>
      </w:r>
      <w:r>
        <w:rPr>
          <w:rFonts w:ascii="方正仿宋简体" w:eastAsia="方正仿宋简体"/>
          <w:color w:val="000000"/>
          <w:sz w:val="34"/>
          <w:szCs w:val="34"/>
        </w:rPr>
        <w:t>预计10.93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亿元，</w:t>
      </w:r>
      <w:r>
        <w:rPr>
          <w:rFonts w:ascii="方正仿宋简体" w:eastAsia="方正仿宋简体"/>
          <w:color w:val="000000"/>
          <w:sz w:val="34"/>
          <w:szCs w:val="34"/>
        </w:rPr>
        <w:t>保障了全区财政平稳运行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二是稳步提高社会保障水平。</w:t>
      </w:r>
      <w:r>
        <w:rPr>
          <w:rFonts w:ascii="方正仿宋简体" w:eastAsia="方正仿宋简体"/>
          <w:color w:val="000000"/>
          <w:sz w:val="34"/>
          <w:szCs w:val="34"/>
        </w:rPr>
        <w:t>2025年</w:t>
      </w:r>
      <w:r>
        <w:rPr>
          <w:rFonts w:ascii="方正仿宋简体" w:eastAsia="方正仿宋简体" w:hint="eastAsia"/>
          <w:color w:val="000000"/>
          <w:sz w:val="34"/>
          <w:szCs w:val="34"/>
        </w:rPr>
        <w:t>社会保障和就业</w:t>
      </w:r>
      <w:r>
        <w:rPr>
          <w:rFonts w:ascii="方正仿宋简体" w:eastAsia="方正仿宋简体"/>
          <w:color w:val="000000"/>
          <w:sz w:val="34"/>
          <w:szCs w:val="34"/>
        </w:rPr>
        <w:t>支出领域投入</w:t>
      </w:r>
      <w:r>
        <w:rPr>
          <w:rFonts w:ascii="方正仿宋简体" w:eastAsia="方正仿宋简体" w:hint="eastAsia"/>
          <w:color w:val="000000"/>
          <w:sz w:val="34"/>
          <w:szCs w:val="34"/>
        </w:rPr>
        <w:t>资金</w:t>
      </w:r>
      <w:r>
        <w:rPr>
          <w:rFonts w:ascii="方正仿宋简体" w:eastAsia="方正仿宋简体"/>
          <w:color w:val="000000"/>
          <w:sz w:val="34"/>
          <w:szCs w:val="34"/>
        </w:rPr>
        <w:t>预计</w:t>
      </w:r>
      <w:r>
        <w:rPr>
          <w:rFonts w:ascii="方正仿宋简体" w:eastAsia="方正仿宋简体" w:hint="eastAsia"/>
          <w:color w:val="000000"/>
          <w:sz w:val="34"/>
          <w:szCs w:val="34"/>
        </w:rPr>
        <w:t>4.</w:t>
      </w:r>
      <w:r>
        <w:rPr>
          <w:rFonts w:ascii="方正仿宋简体" w:eastAsia="方正仿宋简体"/>
          <w:color w:val="000000"/>
          <w:sz w:val="34"/>
          <w:szCs w:val="34"/>
        </w:rPr>
        <w:t>36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亿元，</w:t>
      </w:r>
      <w:r>
        <w:rPr>
          <w:rFonts w:ascii="方正仿宋简体" w:eastAsia="方正仿宋简体"/>
          <w:color w:val="000000"/>
          <w:sz w:val="34"/>
          <w:szCs w:val="34"/>
        </w:rPr>
        <w:t>主要支持重点群体就业创业，支持城乡低保足额保障及困难群体救助，推动养老服务体系建设，落实退役安置政策，切实改善了群众生活质量，增强了民生保障实效。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三是</w:t>
      </w:r>
      <w:r>
        <w:rPr>
          <w:rFonts w:ascii="方正仿宋简体" w:eastAsia="方正仿宋简体"/>
          <w:b/>
          <w:bCs/>
          <w:color w:val="000000"/>
          <w:sz w:val="34"/>
          <w:szCs w:val="34"/>
          <w:lang w:val="en-US" w:eastAsia="zh-CN"/>
        </w:rPr>
        <w:t>积极推进教育事业发展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lang w:val="en-US" w:eastAsia="zh-CN"/>
        </w:rPr>
        <w:t>。</w:t>
      </w:r>
      <w:r>
        <w:rPr>
          <w:rFonts w:ascii="方正仿宋简体" w:eastAsia="方正仿宋简体"/>
          <w:color w:val="000000"/>
          <w:sz w:val="34"/>
          <w:szCs w:val="34"/>
          <w:lang w:val="en-US" w:eastAsia="zh-CN"/>
        </w:rPr>
        <w:t>完善义务教育保障机制，坚定不移做好保障运转和基础支撑工作。2025年教育支出领域预计投入资金2.5亿元，主要用于教育各学段生均公用经费，学生资助及改善学校办学条件等方面，有力推动学前教育普及普惠、义务教育优质均衡、高中教育优质增效，全方位促进教育事业高质量发展。</w:t>
      </w:r>
      <w:r>
        <w:rPr>
          <w:rFonts w:ascii="方正仿宋简体" w:eastAsia="方正仿宋简体"/>
          <w:b/>
          <w:bCs/>
          <w:color w:val="000000"/>
          <w:sz w:val="34"/>
          <w:szCs w:val="34"/>
          <w:lang w:val="en-US" w:eastAsia="zh-CN"/>
        </w:rPr>
        <w:t>四是不断深化基本医疗服务提升。</w:t>
      </w:r>
      <w:r>
        <w:rPr>
          <w:rFonts w:ascii="方正仿宋简体" w:eastAsia="方正仿宋简体"/>
          <w:color w:val="000000"/>
          <w:sz w:val="34"/>
          <w:szCs w:val="34"/>
        </w:rPr>
        <w:t>全年投入卫生健康支出预计1.38亿元，用于支持医药卫生体制改革，不断改善基层医疗卫生条件，进一步提升了公共卫生服务效能，提高应对突发公共卫生事件和重大疾病的防控能力，保障居民享受更好的基本公共卫生服务。</w:t>
      </w:r>
      <w:r>
        <w:rPr>
          <w:rFonts w:ascii="方正仿宋简体" w:eastAsia="方正仿宋简体"/>
          <w:b/>
          <w:bCs/>
          <w:color w:val="000000"/>
          <w:sz w:val="34"/>
          <w:szCs w:val="34"/>
          <w:lang w:val="en-US" w:eastAsia="zh-CN"/>
        </w:rPr>
        <w:t>五是持续加大支农惠农力度。</w:t>
      </w:r>
      <w:r>
        <w:rPr>
          <w:rFonts w:ascii="方正仿宋简体" w:eastAsia="方正仿宋简体"/>
          <w:color w:val="000000"/>
          <w:sz w:val="34"/>
          <w:szCs w:val="34"/>
          <w:lang w:val="en-US" w:eastAsia="zh-CN"/>
        </w:rPr>
        <w:t>2025年全区农林水领域投入资金</w:t>
      </w:r>
      <w:r>
        <w:rPr>
          <w:rFonts w:ascii="方正仿宋简体" w:eastAsia="方正仿宋简体"/>
          <w:color w:val="000000"/>
          <w:sz w:val="34"/>
          <w:szCs w:val="34"/>
        </w:rPr>
        <w:t>预计</w:t>
      </w:r>
      <w:r>
        <w:rPr>
          <w:rFonts w:ascii="方正仿宋简体" w:eastAsia="方正仿宋简体"/>
          <w:color w:val="000000"/>
          <w:sz w:val="34"/>
          <w:szCs w:val="34"/>
          <w:lang w:val="en-US" w:eastAsia="zh-CN"/>
        </w:rPr>
        <w:t>2.55亿元，主要支持高标准农田建设，落实目标价格补贴、耕地地力保护补贴等政策，巩固脱贫攻坚成果与乡村振兴衔接，支持农业生产、林业保护与水利工程建设，为实现农业提质增效、农村宜居宜业、农民增收致富提供了坚实保障。</w:t>
      </w:r>
    </w:p>
    <w:p>
      <w:pPr>
        <w:ind w:firstLineChars="200" w:firstLine="680"/>
        <w:rPr>
          <w:rFonts w:ascii="方正楷体简体" w:eastAsia="方正楷体简体"/>
          <w:color w:val="000000"/>
          <w:sz w:val="34"/>
          <w:szCs w:val="34"/>
          <w:highlight w:val="yellow"/>
        </w:rPr>
      </w:pPr>
      <w:r>
        <w:rPr>
          <w:rFonts w:ascii="方正楷体简体" w:eastAsia="方正楷体简体" w:hint="eastAsia"/>
          <w:sz w:val="34"/>
          <w:szCs w:val="34"/>
        </w:rPr>
        <w:t>（</w:t>
      </w:r>
      <w:r>
        <w:rPr>
          <w:rFonts w:ascii="方正楷体简体" w:eastAsia="方正楷体简体"/>
          <w:sz w:val="34"/>
          <w:szCs w:val="34"/>
        </w:rPr>
        <w:t>三</w:t>
      </w:r>
      <w:r>
        <w:rPr>
          <w:rFonts w:ascii="方正楷体简体" w:eastAsia="方正楷体简体" w:hint="eastAsia"/>
          <w:sz w:val="34"/>
          <w:szCs w:val="34"/>
        </w:rPr>
        <w:t>）</w:t>
      </w:r>
      <w:r>
        <w:rPr>
          <w:rFonts w:ascii="方正楷体简体" w:eastAsia="方正楷体简体" w:cs="楷体" w:hint="eastAsia"/>
          <w:sz w:val="34"/>
          <w:szCs w:val="34"/>
          <w:bdr w:val="none" w:sz="0" w:space="0" w:color="auto"/>
        </w:rPr>
        <w:t>提升财政管理监督水平，推进改革促发展</w:t>
      </w:r>
    </w:p>
    <w:p>
      <w:pPr>
        <w:ind w:firstLineChars="200" w:firstLine="680"/>
        <w:rPr>
          <w:rFonts w:ascii="方正仿宋简体" w:eastAsia="方正仿宋简体"/>
          <w:bCs/>
          <w:color w:val="00000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一是深入推进改革创新。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深入推进预算绩效管理，加强绩效目标管理，提升绩效自评质量，深化绩效评价结果应用。全面推进预算管理一体化，健全完善全国统一的预算管理一体化规范和标准体系，提升财政预算管理工作的规范化、科学化、标准化水平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二是财政管理积极有为。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紧跟步伐持续推进国库集中支付制度改革</w:t>
      </w:r>
      <w:r>
        <w:rPr>
          <w:rFonts w:ascii="方正仿宋简体" w:eastAsia="方正仿宋简体"/>
          <w:bCs/>
          <w:color w:val="000000"/>
          <w:sz w:val="34"/>
          <w:szCs w:val="34"/>
          <w:bdr w:val="none" w:sz="0" w:space="0" w:color="auto"/>
        </w:rPr>
        <w:t>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进一步完善政府财务报告编制，更加全面、准确反映政府财政财务状况。扎实推进非税收缴数字化管理，推动建立流程无纸化、渠道多元化、入账电子化的收缴服务体系。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eastAsia="zh-CN"/>
        </w:rPr>
        <w:t>三是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政府采购管理日益规范。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实现了财政资金“预算—采购—支付”的闭环管理、有效衔接，实现了“无预算不采购”的有效控制。截至目前，</w:t>
      </w:r>
      <w:r>
        <w:rPr>
          <w:rFonts w:ascii="方正仿宋简体" w:eastAsia="方正仿宋简体"/>
          <w:color w:val="000000"/>
          <w:sz w:val="34"/>
          <w:szCs w:val="34"/>
        </w:rPr>
        <w:t>共备案采购计划132项（次）、采购预算6.82亿元。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  <w:lang w:eastAsia="zh-CN"/>
        </w:rPr>
        <w:t>四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是投资评审职能不断强化。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建立健全财政投资评审操作流程，截至目前，</w:t>
      </w:r>
      <w:r>
        <w:rPr>
          <w:rFonts w:ascii="方正仿宋简体" w:eastAsia="方正仿宋简体"/>
          <w:color w:val="000000"/>
          <w:sz w:val="34"/>
          <w:szCs w:val="34"/>
        </w:rPr>
        <w:t>完成各类评审项目307项，其中：控制价评审167项；结算评审140项，送审金额10.3亿元，审减金额0.34亿元，审减率达3.3%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，真正做到了把好“支出关”，捂紧“钱袋子”，当好“管家人”。</w:t>
      </w:r>
    </w:p>
    <w:p>
      <w:pPr>
        <w:ind w:firstLineChars="200" w:firstLine="680"/>
        <w:rPr>
          <w:rFonts w:ascii="方正楷体简体" w:eastAsia="方正楷体简体"/>
          <w:color w:val="000000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（四）</w:t>
      </w:r>
      <w:r>
        <w:rPr>
          <w:rFonts w:ascii="方正楷体简体" w:eastAsia="方正楷体简体" w:hint="eastAsia"/>
          <w:sz w:val="34"/>
          <w:szCs w:val="34"/>
          <w:lang w:eastAsia="zh-CN"/>
        </w:rPr>
        <w:t>推进债务金融风险化解，守住底线强监管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一是规范政府债务管理。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增强防范化解政府债务风险意识，充分利用数字化债务管理平台，强化对债务数据的日常统计，对债务规模、总体限额和偿债能力进行动态监测和分析，严防政府债务风险。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二是妥善化解存量债务。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通过安排财政资金、压减支出等方式，多措并举逐步化解债务。2025年浑江区净化解地方政府债务0.12亿元，</w:t>
      </w:r>
      <w:r>
        <w:rPr>
          <w:rFonts w:ascii="方正仿宋简体" w:eastAsia="方正仿宋简体"/>
          <w:bCs/>
          <w:color w:val="000000"/>
          <w:sz w:val="34"/>
          <w:szCs w:val="34"/>
          <w:bdr w:val="none" w:sz="0" w:space="0" w:color="auto"/>
        </w:rPr>
        <w:t>化解拖欠企业欠款0.65亿元，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有效减轻地方债务压力。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  <w:bdr w:val="none" w:sz="0" w:space="0" w:color="auto"/>
        </w:rPr>
        <w:t>三是统筹好发展与安全。</w:t>
      </w:r>
      <w:r>
        <w:rPr>
          <w:rFonts w:ascii="方正仿宋简体" w:eastAsia="方正仿宋简体" w:hint="eastAsia"/>
          <w:bCs/>
          <w:color w:val="000000"/>
          <w:sz w:val="34"/>
          <w:szCs w:val="34"/>
          <w:bdr w:val="none" w:sz="0" w:space="0" w:color="auto"/>
        </w:rPr>
        <w:t>全面落实防范化解政府债务风险工作，牢牢守住不发生区域性、系统性风险的底线，坚持找准经济发展和防范债务风险的平衡点，将政府债务规模控制在安全合理区间，实现高质量发展和高水平安全的良性互动。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/>
          <w:color w:val="000000"/>
          <w:sz w:val="34"/>
          <w:szCs w:val="34"/>
        </w:rPr>
        <w:t>2025年财政改革发展工作取得的成绩来之不易，得益于区委的正确领导、科学部署，得益于区人大以及代表委员们的精细指导、有效监督。在总结成绩的同时，我们也清醒地看到我区财政仍处于</w:t>
      </w:r>
      <w:r>
        <w:rPr>
          <w:rFonts w:ascii="方正仿宋简体" w:eastAsia="方正仿宋简体" w:hint="eastAsia"/>
          <w:color w:val="000000"/>
          <w:sz w:val="34"/>
          <w:szCs w:val="34"/>
        </w:rPr>
        <w:t>“</w:t>
      </w:r>
      <w:r>
        <w:rPr>
          <w:rFonts w:ascii="方正仿宋简体" w:eastAsia="方正仿宋简体"/>
          <w:color w:val="000000"/>
          <w:sz w:val="34"/>
          <w:szCs w:val="34"/>
        </w:rPr>
        <w:t>紧</w:t>
      </w:r>
      <w:r>
        <w:rPr>
          <w:rFonts w:ascii="方正仿宋简体" w:eastAsia="方正仿宋简体" w:hint="eastAsia"/>
          <w:color w:val="000000"/>
          <w:sz w:val="34"/>
          <w:szCs w:val="34"/>
        </w:rPr>
        <w:t>平衡”状态，财政事业</w:t>
      </w:r>
      <w:r>
        <w:rPr>
          <w:rFonts w:ascii="方正仿宋简体" w:eastAsia="方正仿宋简体"/>
          <w:color w:val="000000"/>
          <w:sz w:val="34"/>
          <w:szCs w:val="34"/>
        </w:rPr>
        <w:t>发展仍存在许多突出矛盾和问题，主要是财政收入规模小、结构不优，税收占GDP比重低，稳定增长的基础尚不牢固，财源建设还需加强；</w:t>
      </w:r>
      <w:r>
        <w:rPr>
          <w:rFonts w:ascii="方正仿宋简体" w:eastAsia="方正仿宋简体" w:hint="eastAsia"/>
          <w:color w:val="000000"/>
          <w:sz w:val="34"/>
          <w:szCs w:val="34"/>
        </w:rPr>
        <w:t>“三保”保障、编外人员、债务还本付息</w:t>
      </w:r>
      <w:r>
        <w:rPr>
          <w:rFonts w:ascii="方正仿宋简体" w:eastAsia="方正仿宋简体"/>
          <w:color w:val="000000"/>
          <w:sz w:val="34"/>
          <w:szCs w:val="34"/>
        </w:rPr>
        <w:t>等刚性支出不断增加，财政收支矛盾持续加剧。针对上述问题，我们高度重视，将积极采取措施，研究加以解决。</w:t>
      </w:r>
    </w:p>
    <w:p>
      <w:pPr>
        <w:ind w:firstLineChars="250" w:firstLine="850"/>
        <w:contextualSpacing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 w:hint="eastAsia"/>
          <w:sz w:val="34"/>
          <w:szCs w:val="34"/>
        </w:rPr>
        <w:t>三、202</w:t>
      </w:r>
      <w:r>
        <w:rPr>
          <w:rFonts w:ascii="方正黑体简体" w:eastAsia="方正黑体简体"/>
          <w:sz w:val="34"/>
          <w:szCs w:val="34"/>
        </w:rPr>
        <w:t>6</w:t>
      </w:r>
      <w:r>
        <w:rPr>
          <w:rFonts w:ascii="方正黑体简体" w:eastAsia="方正黑体简体" w:hint="eastAsia"/>
          <w:sz w:val="34"/>
          <w:szCs w:val="34"/>
        </w:rPr>
        <w:t>年</w:t>
      </w:r>
      <w:r>
        <w:rPr>
          <w:rFonts w:ascii="方正黑体简体" w:eastAsia="方正黑体简体"/>
          <w:sz w:val="34"/>
          <w:szCs w:val="34"/>
        </w:rPr>
        <w:t>财政</w:t>
      </w:r>
      <w:r>
        <w:rPr>
          <w:rFonts w:ascii="方正黑体简体" w:eastAsia="方正黑体简体" w:hint="eastAsia"/>
          <w:sz w:val="34"/>
          <w:szCs w:val="34"/>
        </w:rPr>
        <w:t>预算</w:t>
      </w:r>
      <w:r>
        <w:rPr>
          <w:rFonts w:ascii="方正黑体简体" w:eastAsia="方正黑体简体"/>
          <w:sz w:val="34"/>
          <w:szCs w:val="34"/>
        </w:rPr>
        <w:t>（</w:t>
      </w:r>
      <w:r>
        <w:rPr>
          <w:rFonts w:ascii="方正黑体简体" w:eastAsia="方正黑体简体" w:hint="eastAsia"/>
          <w:sz w:val="34"/>
          <w:szCs w:val="34"/>
        </w:rPr>
        <w:t>草案</w:t>
      </w:r>
      <w:r>
        <w:rPr>
          <w:rFonts w:ascii="方正黑体简体" w:eastAsia="方正黑体简体"/>
          <w:sz w:val="34"/>
          <w:szCs w:val="34"/>
        </w:rPr>
        <w:t>）</w:t>
      </w:r>
      <w:r>
        <w:rPr>
          <w:rFonts w:ascii="方正黑体简体" w:eastAsia="方正黑体简体" w:hint="eastAsia"/>
          <w:sz w:val="34"/>
          <w:szCs w:val="34"/>
        </w:rPr>
        <w:t>及重点工作任务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（一）财政预算安排的指导思想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202</w:t>
      </w:r>
      <w:r>
        <w:rPr>
          <w:rFonts w:ascii="方正仿宋简体" w:eastAsia="方正仿宋简体"/>
          <w:sz w:val="34"/>
          <w:szCs w:val="34"/>
        </w:rPr>
        <w:t>6</w:t>
      </w:r>
      <w:r>
        <w:rPr>
          <w:rFonts w:ascii="方正仿宋简体" w:eastAsia="方正仿宋简体" w:hint="eastAsia"/>
          <w:sz w:val="34"/>
          <w:szCs w:val="34"/>
        </w:rPr>
        <w:t>年预算安排的指导思想是：以习近平新时代中国特色社会主义思想为指导，全面贯彻党的二十大</w:t>
      </w:r>
      <w:r>
        <w:rPr>
          <w:rFonts w:ascii="方正仿宋简体" w:eastAsia="方正仿宋简体"/>
          <w:sz w:val="34"/>
          <w:szCs w:val="34"/>
        </w:rPr>
        <w:t>和二十届历次全会精神</w:t>
      </w:r>
      <w:r>
        <w:rPr>
          <w:rFonts w:ascii="方正仿宋简体" w:eastAsia="方正仿宋简体" w:hint="eastAsia"/>
          <w:sz w:val="34"/>
          <w:szCs w:val="34"/>
        </w:rPr>
        <w:t>，</w:t>
      </w:r>
      <w:r>
        <w:rPr>
          <w:rFonts w:ascii="方正仿宋简体" w:eastAsia="方正仿宋简体" w:hint="eastAsia"/>
          <w:sz w:val="34"/>
          <w:szCs w:val="34"/>
          <w:lang w:eastAsia="zh-CN"/>
        </w:rPr>
        <w:t>认真落实中央、省</w:t>
      </w:r>
      <w:r>
        <w:rPr>
          <w:rFonts w:ascii="方正仿宋简体" w:eastAsia="方正仿宋简体"/>
          <w:sz w:val="34"/>
          <w:szCs w:val="34"/>
          <w:lang w:eastAsia="zh-CN"/>
        </w:rPr>
        <w:t>、</w:t>
      </w:r>
      <w:r>
        <w:rPr>
          <w:rFonts w:ascii="方正仿宋简体" w:eastAsia="方正仿宋简体" w:hint="eastAsia"/>
          <w:sz w:val="34"/>
          <w:szCs w:val="34"/>
          <w:lang w:eastAsia="zh-CN"/>
        </w:rPr>
        <w:t>市经济工作会议部署，</w:t>
      </w:r>
      <w:r>
        <w:rPr>
          <w:rFonts w:ascii="方正仿宋简体" w:eastAsia="方正仿宋简体"/>
          <w:sz w:val="34"/>
          <w:szCs w:val="34"/>
        </w:rPr>
        <w:t>完整准确全面贯彻新发展理念，聚焦高质量发展首要任务，坚持</w:t>
      </w:r>
      <w:r>
        <w:rPr>
          <w:rFonts w:ascii="方正仿宋简体" w:eastAsia="方正仿宋简体" w:hint="eastAsia"/>
          <w:sz w:val="34"/>
          <w:szCs w:val="34"/>
        </w:rPr>
        <w:t>“生态</w:t>
      </w:r>
      <w:r>
        <w:rPr>
          <w:rFonts w:ascii="方正仿宋简体" w:eastAsia="方正仿宋简体"/>
          <w:sz w:val="34"/>
          <w:szCs w:val="34"/>
        </w:rPr>
        <w:t>强市</w:t>
      </w:r>
      <w:r>
        <w:rPr>
          <w:rFonts w:ascii="方正仿宋简体" w:eastAsia="方正仿宋简体" w:hint="eastAsia"/>
          <w:sz w:val="34"/>
          <w:szCs w:val="34"/>
        </w:rPr>
        <w:t>”</w:t>
      </w:r>
      <w:r>
        <w:rPr>
          <w:rFonts w:ascii="方正仿宋简体" w:eastAsia="方正仿宋简体"/>
          <w:sz w:val="34"/>
          <w:szCs w:val="34"/>
        </w:rPr>
        <w:t>战略，优化财政资源配置，提升政策精准效能，</w:t>
      </w:r>
      <w:r>
        <w:rPr>
          <w:rFonts w:ascii="方正仿宋简体" w:eastAsia="方正仿宋简体" w:hint="eastAsia"/>
          <w:sz w:val="34"/>
          <w:szCs w:val="34"/>
        </w:rPr>
        <w:t>切实发挥财政宏观调控作用，为</w:t>
      </w:r>
      <w:r>
        <w:rPr>
          <w:rFonts w:ascii="方正仿宋简体" w:eastAsia="方正仿宋简体"/>
          <w:sz w:val="34"/>
          <w:szCs w:val="34"/>
        </w:rPr>
        <w:t>浑江区实现绿色转型高质量发展全面振兴，</w:t>
      </w:r>
      <w:r>
        <w:rPr>
          <w:rFonts w:ascii="方正仿宋简体" w:eastAsia="方正仿宋简体" w:hint="eastAsia"/>
          <w:sz w:val="34"/>
          <w:szCs w:val="34"/>
        </w:rPr>
        <w:t>实现“十五五”良好开局提供坚实财力支撑。</w:t>
      </w:r>
    </w:p>
    <w:p>
      <w:pPr>
        <w:ind w:firstLineChars="200" w:firstLine="680"/>
        <w:contextualSpacing/>
        <w:rPr>
          <w:rFonts w:ascii="方正楷体简体" w:eastAsia="方正楷体简体"/>
          <w:b/>
          <w:sz w:val="34"/>
          <w:szCs w:val="34"/>
          <w:highlight w:val="yellow"/>
        </w:rPr>
      </w:pPr>
      <w:r>
        <w:rPr>
          <w:rFonts w:ascii="方正楷体简体" w:eastAsia="方正楷体简体" w:hint="eastAsia"/>
          <w:sz w:val="34"/>
          <w:szCs w:val="34"/>
        </w:rPr>
        <w:t>（二）财政预算草案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1、一般公共预算安排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6</w:t>
      </w:r>
      <w:r>
        <w:rPr>
          <w:rFonts w:ascii="方正仿宋简体" w:eastAsia="方正仿宋简体" w:hint="eastAsia"/>
          <w:kern w:val="0"/>
          <w:sz w:val="34"/>
          <w:szCs w:val="34"/>
        </w:rPr>
        <w:t>年，地方级财政收入计划完成</w:t>
      </w:r>
      <w:r>
        <w:rPr>
          <w:rFonts w:ascii="方正仿宋简体" w:eastAsia="方正仿宋简体"/>
          <w:kern w:val="0"/>
          <w:sz w:val="34"/>
          <w:szCs w:val="34"/>
        </w:rPr>
        <w:t>3.13亿</w:t>
      </w:r>
      <w:r>
        <w:rPr>
          <w:rFonts w:ascii="方正仿宋简体" w:eastAsia="方正仿宋简体" w:hint="eastAsia"/>
          <w:kern w:val="0"/>
          <w:sz w:val="34"/>
          <w:szCs w:val="34"/>
        </w:rPr>
        <w:t>元，</w:t>
      </w:r>
      <w:r>
        <w:rPr>
          <w:rFonts w:ascii="方正仿宋简体" w:eastAsia="方正仿宋简体"/>
          <w:kern w:val="0"/>
          <w:sz w:val="34"/>
          <w:szCs w:val="34"/>
        </w:rPr>
        <w:t>同比</w:t>
      </w:r>
      <w:r>
        <w:rPr>
          <w:rFonts w:ascii="方正仿宋简体" w:eastAsia="方正仿宋简体" w:hint="eastAsia"/>
          <w:kern w:val="0"/>
          <w:sz w:val="34"/>
          <w:szCs w:val="34"/>
        </w:rPr>
        <w:t>增长</w:t>
      </w:r>
      <w:r>
        <w:rPr>
          <w:rFonts w:ascii="方正仿宋简体" w:eastAsia="方正仿宋简体"/>
          <w:kern w:val="0"/>
          <w:sz w:val="34"/>
          <w:szCs w:val="34"/>
        </w:rPr>
        <w:t>3</w:t>
      </w:r>
      <w:r>
        <w:rPr>
          <w:rFonts w:ascii="方正仿宋简体" w:eastAsia="方正仿宋简体" w:hint="eastAsia"/>
          <w:kern w:val="0"/>
          <w:sz w:val="34"/>
          <w:szCs w:val="34"/>
        </w:rPr>
        <w:t>%，转移支付收入计划完成</w:t>
      </w:r>
      <w:r>
        <w:rPr>
          <w:rFonts w:ascii="方正仿宋简体" w:eastAsia="方正仿宋简体"/>
          <w:kern w:val="0"/>
          <w:sz w:val="34"/>
          <w:szCs w:val="34"/>
        </w:rPr>
        <w:t>10.2亿</w:t>
      </w:r>
      <w:r>
        <w:rPr>
          <w:rFonts w:ascii="方正仿宋简体" w:eastAsia="方正仿宋简体" w:hint="eastAsia"/>
          <w:kern w:val="0"/>
          <w:sz w:val="34"/>
          <w:szCs w:val="34"/>
        </w:rPr>
        <w:t>元，上年结转</w:t>
      </w:r>
      <w:r>
        <w:rPr>
          <w:rFonts w:ascii="方正仿宋简体" w:eastAsia="方正仿宋简体"/>
          <w:kern w:val="0"/>
          <w:sz w:val="34"/>
          <w:szCs w:val="34"/>
        </w:rPr>
        <w:t>2.25亿</w:t>
      </w:r>
      <w:r>
        <w:rPr>
          <w:rFonts w:ascii="方正仿宋简体" w:eastAsia="方正仿宋简体" w:hint="eastAsia"/>
          <w:kern w:val="0"/>
          <w:sz w:val="34"/>
          <w:szCs w:val="34"/>
        </w:rPr>
        <w:t>元，一般公共预算总收入计划完成</w:t>
      </w:r>
      <w:r>
        <w:rPr>
          <w:rFonts w:ascii="方正仿宋简体" w:eastAsia="方正仿宋简体"/>
          <w:kern w:val="0"/>
          <w:sz w:val="34"/>
          <w:szCs w:val="34"/>
        </w:rPr>
        <w:t>15.58亿</w:t>
      </w:r>
      <w:r>
        <w:rPr>
          <w:rFonts w:ascii="方正仿宋简体" w:eastAsia="方正仿宋简体" w:hint="eastAsia"/>
          <w:kern w:val="0"/>
          <w:sz w:val="34"/>
          <w:szCs w:val="34"/>
        </w:rPr>
        <w:t>元；相应安排一般公共预算支出</w:t>
      </w:r>
      <w:r>
        <w:rPr>
          <w:rFonts w:ascii="方正仿宋简体" w:eastAsia="方正仿宋简体"/>
          <w:kern w:val="0"/>
          <w:sz w:val="34"/>
          <w:szCs w:val="34"/>
        </w:rPr>
        <w:t>15.58亿</w:t>
      </w:r>
      <w:r>
        <w:rPr>
          <w:rFonts w:ascii="方正仿宋简体" w:eastAsia="方正仿宋简体" w:hint="eastAsia"/>
          <w:kern w:val="0"/>
          <w:sz w:val="34"/>
          <w:szCs w:val="34"/>
        </w:rPr>
        <w:t>元。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2、政府性基金预算安排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6</w:t>
      </w:r>
      <w:r>
        <w:rPr>
          <w:rFonts w:ascii="方正仿宋简体" w:eastAsia="方正仿宋简体" w:hint="eastAsia"/>
          <w:kern w:val="0"/>
          <w:sz w:val="34"/>
          <w:szCs w:val="34"/>
        </w:rPr>
        <w:t>年，政府性基金预算当年收入计划完成</w:t>
      </w:r>
      <w:r>
        <w:rPr>
          <w:rFonts w:ascii="方正仿宋简体" w:eastAsia="方正仿宋简体"/>
          <w:kern w:val="0"/>
          <w:sz w:val="34"/>
          <w:szCs w:val="34"/>
        </w:rPr>
        <w:t>0.25亿</w:t>
      </w:r>
      <w:r>
        <w:rPr>
          <w:rFonts w:ascii="方正仿宋简体" w:eastAsia="方正仿宋简体" w:hint="eastAsia"/>
          <w:kern w:val="0"/>
          <w:sz w:val="34"/>
          <w:szCs w:val="34"/>
        </w:rPr>
        <w:t>元，</w:t>
      </w:r>
      <w:r>
        <w:rPr>
          <w:rFonts w:ascii="方正仿宋简体" w:eastAsia="方正仿宋简体"/>
          <w:kern w:val="0"/>
          <w:sz w:val="34"/>
          <w:szCs w:val="34"/>
        </w:rPr>
        <w:t>转移支付收入计划完成0.3亿元，</w:t>
      </w:r>
      <w:r>
        <w:rPr>
          <w:rFonts w:ascii="方正仿宋简体" w:eastAsia="方正仿宋简体" w:hint="eastAsia"/>
          <w:kern w:val="0"/>
          <w:sz w:val="34"/>
          <w:szCs w:val="34"/>
        </w:rPr>
        <w:t>上年结转</w:t>
      </w:r>
      <w:r>
        <w:rPr>
          <w:rFonts w:ascii="方正仿宋简体" w:eastAsia="方正仿宋简体"/>
          <w:kern w:val="0"/>
          <w:sz w:val="34"/>
          <w:szCs w:val="34"/>
        </w:rPr>
        <w:t>1.65亿</w:t>
      </w:r>
      <w:r>
        <w:rPr>
          <w:rFonts w:ascii="方正仿宋简体" w:eastAsia="方正仿宋简体" w:hint="eastAsia"/>
          <w:kern w:val="0"/>
          <w:sz w:val="34"/>
          <w:szCs w:val="34"/>
        </w:rPr>
        <w:t>元，政府性基金预算总收入计划完成</w:t>
      </w:r>
      <w:r>
        <w:rPr>
          <w:rFonts w:ascii="方正仿宋简体" w:eastAsia="方正仿宋简体"/>
          <w:kern w:val="0"/>
          <w:sz w:val="34"/>
          <w:szCs w:val="34"/>
        </w:rPr>
        <w:t>2.2亿</w:t>
      </w:r>
      <w:r>
        <w:rPr>
          <w:rFonts w:ascii="方正仿宋简体" w:eastAsia="方正仿宋简体" w:hint="eastAsia"/>
          <w:kern w:val="0"/>
          <w:sz w:val="34"/>
          <w:szCs w:val="34"/>
        </w:rPr>
        <w:t>元；相应安排政府性基金预算支出</w:t>
      </w:r>
      <w:r>
        <w:rPr>
          <w:rFonts w:ascii="方正仿宋简体" w:eastAsia="方正仿宋简体"/>
          <w:kern w:val="0"/>
          <w:sz w:val="34"/>
          <w:szCs w:val="34"/>
        </w:rPr>
        <w:t>2.2亿</w:t>
      </w:r>
      <w:r>
        <w:rPr>
          <w:rFonts w:ascii="方正仿宋简体" w:eastAsia="方正仿宋简体" w:hint="eastAsia"/>
          <w:kern w:val="0"/>
          <w:sz w:val="34"/>
          <w:szCs w:val="34"/>
        </w:rPr>
        <w:t>元，重点用于彩票公益金</w:t>
      </w:r>
      <w:r>
        <w:rPr>
          <w:rFonts w:ascii="方正仿宋简体" w:eastAsia="方正仿宋简体"/>
          <w:kern w:val="0"/>
          <w:sz w:val="34"/>
          <w:szCs w:val="34"/>
        </w:rPr>
        <w:t>项目</w:t>
      </w:r>
      <w:r>
        <w:rPr>
          <w:rFonts w:ascii="方正仿宋简体" w:eastAsia="方正仿宋简体" w:hint="eastAsia"/>
          <w:kern w:val="0"/>
          <w:sz w:val="34"/>
          <w:szCs w:val="34"/>
        </w:rPr>
        <w:t>支出、大中型水库移民后期扶持项目</w:t>
      </w:r>
      <w:r>
        <w:rPr>
          <w:rFonts w:ascii="方正仿宋简体" w:eastAsia="方正仿宋简体"/>
          <w:kern w:val="0"/>
          <w:sz w:val="34"/>
          <w:szCs w:val="34"/>
        </w:rPr>
        <w:t>支出</w:t>
      </w:r>
      <w:r>
        <w:rPr>
          <w:rFonts w:ascii="方正仿宋简体" w:eastAsia="方正仿宋简体" w:hint="eastAsia"/>
          <w:kern w:val="0"/>
          <w:sz w:val="34"/>
          <w:szCs w:val="34"/>
        </w:rPr>
        <w:t>、地方政府专项债务付息等。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3、社会保险基金预算安排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6</w:t>
      </w:r>
      <w:r>
        <w:rPr>
          <w:rFonts w:ascii="方正仿宋简体" w:eastAsia="方正仿宋简体" w:hint="eastAsia"/>
          <w:kern w:val="0"/>
          <w:sz w:val="34"/>
          <w:szCs w:val="34"/>
        </w:rPr>
        <w:t>年，社会保险基金</w:t>
      </w:r>
      <w:r>
        <w:rPr>
          <w:rFonts w:ascii="方正仿宋简体" w:eastAsia="方正仿宋简体"/>
          <w:kern w:val="0"/>
          <w:sz w:val="34"/>
          <w:szCs w:val="34"/>
        </w:rPr>
        <w:t>预算</w:t>
      </w:r>
      <w:r>
        <w:rPr>
          <w:rFonts w:ascii="方正仿宋简体" w:eastAsia="方正仿宋简体" w:hint="eastAsia"/>
          <w:kern w:val="0"/>
          <w:sz w:val="34"/>
          <w:szCs w:val="34"/>
        </w:rPr>
        <w:t>当年收入计划完成</w:t>
      </w:r>
      <w:r>
        <w:rPr>
          <w:rFonts w:ascii="方正仿宋简体" w:eastAsia="方正仿宋简体"/>
          <w:kern w:val="0"/>
          <w:sz w:val="34"/>
          <w:szCs w:val="34"/>
        </w:rPr>
        <w:t>3.01亿</w:t>
      </w:r>
      <w:r>
        <w:rPr>
          <w:rFonts w:ascii="方正仿宋简体" w:eastAsia="方正仿宋简体" w:hint="eastAsia"/>
          <w:kern w:val="0"/>
          <w:sz w:val="34"/>
          <w:szCs w:val="34"/>
        </w:rPr>
        <w:t>元，上年结转</w:t>
      </w:r>
      <w:r>
        <w:rPr>
          <w:rFonts w:ascii="方正仿宋简体" w:eastAsia="方正仿宋简体"/>
          <w:kern w:val="0"/>
          <w:sz w:val="34"/>
          <w:szCs w:val="34"/>
        </w:rPr>
        <w:t>0.25亿</w:t>
      </w:r>
      <w:r>
        <w:rPr>
          <w:rFonts w:ascii="方正仿宋简体" w:eastAsia="方正仿宋简体" w:hint="eastAsia"/>
          <w:kern w:val="0"/>
          <w:sz w:val="34"/>
          <w:szCs w:val="34"/>
        </w:rPr>
        <w:t>元，社会保险基金总收入计划完成</w:t>
      </w:r>
      <w:r>
        <w:rPr>
          <w:rFonts w:ascii="方正仿宋简体" w:eastAsia="方正仿宋简体"/>
          <w:kern w:val="0"/>
          <w:sz w:val="34"/>
          <w:szCs w:val="34"/>
        </w:rPr>
        <w:t>3.26亿</w:t>
      </w:r>
      <w:r>
        <w:rPr>
          <w:rFonts w:ascii="方正仿宋简体" w:eastAsia="方正仿宋简体" w:hint="eastAsia"/>
          <w:kern w:val="0"/>
          <w:sz w:val="34"/>
          <w:szCs w:val="34"/>
        </w:rPr>
        <w:t>元；</w:t>
      </w:r>
      <w:r>
        <w:rPr>
          <w:rFonts w:ascii="方正仿宋简体" w:eastAsia="方正仿宋简体"/>
          <w:kern w:val="0"/>
          <w:sz w:val="34"/>
          <w:szCs w:val="34"/>
        </w:rPr>
        <w:t>相应</w:t>
      </w:r>
      <w:r>
        <w:rPr>
          <w:rFonts w:ascii="方正仿宋简体" w:eastAsia="方正仿宋简体" w:hint="eastAsia"/>
          <w:kern w:val="0"/>
          <w:sz w:val="34"/>
          <w:szCs w:val="34"/>
        </w:rPr>
        <w:t>安排社会保险基金总支出</w:t>
      </w:r>
      <w:r>
        <w:rPr>
          <w:rFonts w:ascii="方正仿宋简体" w:eastAsia="方正仿宋简体"/>
          <w:kern w:val="0"/>
          <w:sz w:val="34"/>
          <w:szCs w:val="34"/>
        </w:rPr>
        <w:t>3.26亿</w:t>
      </w:r>
      <w:r>
        <w:rPr>
          <w:rFonts w:ascii="方正仿宋简体" w:eastAsia="方正仿宋简体" w:hint="eastAsia"/>
          <w:kern w:val="0"/>
          <w:sz w:val="34"/>
          <w:szCs w:val="34"/>
        </w:rPr>
        <w:t>元。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（三）202</w:t>
      </w:r>
      <w:r>
        <w:rPr>
          <w:rFonts w:ascii="方正楷体简体" w:eastAsia="方正楷体简体"/>
          <w:sz w:val="34"/>
          <w:szCs w:val="34"/>
        </w:rPr>
        <w:t>6</w:t>
      </w:r>
      <w:r>
        <w:rPr>
          <w:rFonts w:ascii="方正楷体简体" w:eastAsia="方正楷体简体" w:hint="eastAsia"/>
          <w:sz w:val="34"/>
          <w:szCs w:val="34"/>
        </w:rPr>
        <w:t>年预算工作措施</w:t>
      </w:r>
    </w:p>
    <w:p>
      <w:pPr>
        <w:ind w:firstLineChars="200" w:firstLine="680"/>
        <w:contextualSpacing/>
        <w:rPr>
          <w:rFonts w:ascii="方正仿宋简体" w:eastAsia="方正仿宋简体" w:hint="eastAsia"/>
          <w:b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  <w:bdr w:val="none" w:sz="0" w:space="0" w:color="auto"/>
        </w:rPr>
        <w:t>1、狠抓财源建设，拓宽收入来源渠道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  <w:t>一是培育财源，汇聚财力。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始终把聚财增收作为首要任务，既要全面推行积极的税收政策，也要依法推进综合治税，严格税收征管，围绕重点税种、税源、行业实行规范化管理，确保应收尽收，努力实现收入预期目标。</w:t>
      </w: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  <w:t>二是争取资金，统筹财力。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强化政策解读，紧盯中央预算内投资、超长期特别国债、中央支持的试点示范类项目等有关政策，大力支持和推动各部门围绕既定目标，加大与上级对接频次，积极向上争取，做到资金争取导向精准。</w:t>
      </w: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  <w:t>三是盘活资产，充盈财力。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继续发挥存量资金定期核查和清理盘活机制作用，加快结余结转资金清理收回，提高财政资金使用效率，继续加大国有资产盘活力度，对权属不清晰、产权未办理等资产落实“一产一策”方案，释放国有资产活力。</w:t>
      </w:r>
    </w:p>
    <w:p>
      <w:pPr>
        <w:ind w:firstLineChars="200" w:firstLine="680"/>
        <w:contextualSpacing/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  <w:lang w:val="en-US" w:eastAsia="zh-CN"/>
        </w:rPr>
      </w:pP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  <w:lang w:val="en-US" w:eastAsia="zh-CN"/>
        </w:rPr>
        <w:t>2、加大民生投入，提高社会保障水平</w:t>
      </w:r>
    </w:p>
    <w:p>
      <w:pPr>
        <w:ind w:firstLineChars="200" w:firstLine="680"/>
        <w:contextualSpacing/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  <w:lang w:val="en-US" w:eastAsia="zh-CN"/>
        </w:rPr>
        <w:t>一是集中财力惠民生。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  <w:lang w:val="en-US" w:eastAsia="zh-CN"/>
        </w:rPr>
        <w:t>始终坚持以人民为中心，聚焦教育、社会保障、医疗卫生等重点民生领域，统筹财力确保民生支出保持必要支出强度。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  <w:lang w:val="en-US" w:eastAsia="zh-CN"/>
        </w:rPr>
        <w:t>二是兜牢底线保民生。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  <w:lang w:val="en-US" w:eastAsia="zh-CN"/>
        </w:rPr>
        <w:t>加快民生资金支出进度，优先保障困难群众基本生活，推进基础教育优质均衡发展，改善农村人居环境，不断提升服务民生的温度。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  <w:lang w:val="en-US" w:eastAsia="zh-CN"/>
        </w:rPr>
        <w:t>三是优化政策增福祉。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  <w:lang w:val="en-US" w:eastAsia="zh-CN"/>
        </w:rPr>
        <w:t>聚焦补齐民生短板，坚持在高质量发展中增强民生福祉，着力解决人民群众急难愁盼的问题，推进公共资源向基层延伸、向农村覆盖、向弱势群体倾斜，不断增强人民群众获得感、幸福感、安全感。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680"/>
        <w:textAlignment w:val="auto"/>
        <w:rPr>
          <w:rFonts w:ascii="楷体" w:eastAsia="楷体" w:cs="楷体" w:hint="eastAsia"/>
          <w:b w:val="0"/>
          <w:bCs w:val="0"/>
          <w:color w:val="000000"/>
          <w:sz w:val="34"/>
          <w:szCs w:val="34"/>
          <w:shd w:val="clear" w:color="auto" w:fill="FFFFFF"/>
          <w:lang w:eastAsia="zh-CN"/>
        </w:rPr>
      </w:pPr>
      <w:r>
        <w:rPr>
          <w:rFonts w:ascii="方正仿宋简体" w:eastAsia="方正仿宋简体" w:cs="楷体"/>
          <w:b/>
          <w:bCs/>
          <w:kern w:val="0"/>
          <w:sz w:val="34"/>
          <w:szCs w:val="34"/>
          <w:bdr w:val="none" w:sz="0" w:space="0" w:color="auto"/>
          <w:shd w:val="clear" w:color="auto" w:fill="auto"/>
        </w:rPr>
        <w:t>3、</w:t>
      </w:r>
      <w:r>
        <w:rPr>
          <w:rFonts w:ascii="方正仿宋简体" w:eastAsia="方正仿宋简体" w:cs="楷体" w:hint="eastAsia"/>
          <w:b/>
          <w:bCs/>
          <w:kern w:val="0"/>
          <w:sz w:val="34"/>
          <w:szCs w:val="34"/>
          <w:bdr w:val="none" w:sz="0" w:space="0" w:color="auto"/>
          <w:shd w:val="clear" w:color="auto" w:fill="auto"/>
        </w:rPr>
        <w:t>深化体制改革，促进财政管理提升</w:t>
      </w:r>
    </w:p>
    <w:p>
      <w:pPr>
        <w:ind w:firstLineChars="200" w:firstLine="680"/>
        <w:contextualSpacing/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一是科学编制</w:t>
      </w: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  <w:t>年初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预算。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</w:rPr>
        <w:t>根据</w:t>
      </w:r>
      <w:r>
        <w:rPr>
          <w:rFonts w:ascii="方正仿宋简体" w:eastAsia="方正仿宋简体"/>
          <w:bCs/>
          <w:kern w:val="0"/>
          <w:sz w:val="34"/>
          <w:szCs w:val="34"/>
          <w:bdr w:val="none" w:sz="0" w:space="0" w:color="auto"/>
        </w:rPr>
        <w:t>区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</w:rPr>
        <w:t>委决策部署和</w:t>
      </w:r>
      <w:r>
        <w:rPr>
          <w:rFonts w:ascii="方正仿宋简体" w:eastAsia="方正仿宋简体"/>
          <w:bCs/>
          <w:kern w:val="0"/>
          <w:sz w:val="34"/>
          <w:szCs w:val="34"/>
          <w:bdr w:val="none" w:sz="0" w:space="0" w:color="auto"/>
        </w:rPr>
        <w:t>我区实际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</w:rPr>
        <w:t>财力情况，对部门年度申报支出的内容、标准、预期绩效等进行全面审核后编制年度预算，确保预算编制科学、规范、精准。加强预算执行监控和分析，严禁无预算支出，超预算拨款。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二是</w:t>
      </w: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  <w:t>厉行节约压减支出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。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坚持将过“紧日子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”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贯穿工作全过程，持续压减一般性、非刚性支出，打好财政监督管理、政府采购管理、项目评审管理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“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组合拳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”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，节约财政资金优先用于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“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三保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”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等刚性支出。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三是全面推进绩效管理。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</w:rPr>
        <w:t>坚持“花钱必问效，无效必问责”的绩效管理理念，强化支出责任和效率意识，将绩效评价结果运用到预算安排中来，推动零基预算和预算绩效管理有机衔接。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四是加强财政监督检查。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</w:rPr>
        <w:t>围绕重点部门、重点领域、关键环节，加大财政监督检查力度，切实从源头上、制度上预防和治理违规违纪行为，严控资金风险。</w:t>
      </w:r>
    </w:p>
    <w:p>
      <w:pPr>
        <w:ind w:firstLineChars="200" w:firstLine="680"/>
        <w:contextualSpacing/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/>
          <w:b/>
          <w:bCs/>
          <w:kern w:val="0"/>
          <w:sz w:val="34"/>
          <w:szCs w:val="34"/>
          <w:bdr w:val="none" w:sz="0" w:space="0" w:color="auto"/>
        </w:rPr>
        <w:t>4、加强债务管控，防范化解债务风险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一是全面化解债务存量。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利用盘活存量资产、压减一般性支出、积极协调争取上级转移支付资金等方式，多措并举筹集资金，保证到期法定债务按时足额偿还。严格落实政府性债务管理措施，按照“谁举债、谁负责”的原则，压紧压实部门主体责任，督促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项目单位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偿还到期债务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本息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，防范债务风险。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二是全面遏制债务增量。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始终树立风险意识和底线思维，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健全高效防控机制，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坚决遏制隐性债务增量，杜绝随意新增财政预算，堵死违规举债的“后门”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，持续推进政府债务合规管理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。</w:t>
      </w:r>
      <w:r>
        <w:rPr>
          <w:rFonts w:ascii="方正仿宋简体" w:eastAsia="方正仿宋简体" w:hint="eastAsia"/>
          <w:b/>
          <w:bCs/>
          <w:kern w:val="0"/>
          <w:sz w:val="34"/>
          <w:szCs w:val="34"/>
          <w:bdr w:val="none" w:sz="0" w:space="0" w:color="auto"/>
        </w:rPr>
        <w:t>三是积极争取上级政策支持。</w:t>
      </w:r>
      <w:r>
        <w:rPr>
          <w:rFonts w:ascii="方正仿宋简体" w:eastAsia="方正仿宋简体" w:hint="eastAsia"/>
          <w:bCs/>
          <w:kern w:val="0"/>
          <w:sz w:val="34"/>
          <w:szCs w:val="34"/>
          <w:bdr w:val="none" w:sz="0" w:space="0" w:color="auto"/>
        </w:rPr>
        <w:t>积极争取化债政策支持，申请再融资债券资金，优化政府债务结构，推进存量债务展期、降息、置换，持续降低成本、缓释风险，确保如期完成化债任务目标。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/>
          <w:kern w:val="0"/>
          <w:sz w:val="34"/>
          <w:szCs w:val="34"/>
        </w:rPr>
        <w:t>各位代表，踔厉奋发显担当，笃行不怠求实效，2026年的</w:t>
      </w:r>
      <w:r>
        <w:rPr>
          <w:rFonts w:ascii="方正仿宋简体" w:eastAsia="方正仿宋简体" w:hint="eastAsia"/>
          <w:sz w:val="34"/>
          <w:szCs w:val="34"/>
        </w:rPr>
        <w:t>财政工作任务</w:t>
      </w:r>
      <w:r>
        <w:rPr>
          <w:rFonts w:ascii="方正仿宋简体" w:eastAsia="方正仿宋简体" w:hint="eastAsia"/>
          <w:sz w:val="34"/>
          <w:szCs w:val="34"/>
          <w:lang w:eastAsia="zh-CN"/>
        </w:rPr>
        <w:t>依然</w:t>
      </w:r>
      <w:r>
        <w:rPr>
          <w:rFonts w:ascii="方正仿宋简体" w:eastAsia="方正仿宋简体" w:hint="eastAsia"/>
          <w:sz w:val="34"/>
          <w:szCs w:val="34"/>
        </w:rPr>
        <w:t>十分艰巨</w:t>
      </w:r>
      <w:r>
        <w:rPr>
          <w:rFonts w:ascii="方正仿宋简体" w:eastAsia="方正仿宋简体"/>
          <w:kern w:val="0"/>
          <w:sz w:val="34"/>
          <w:szCs w:val="34"/>
        </w:rPr>
        <w:t>，我们将在区委的坚强领导下，在区人大及其常委会的依法监督下，以更加坚定的信念、更有力的举措，更务实的作风，攻坚克难，苦干实干，全力以赴完成各项目标任务，为谱写中国式现代化进程中的浑江篇章贡献新的更大的力量！</w:t>
        <w:tab/>
      </w:r>
    </w:p>
    <w:tbl>
      <w:tblPr>
        <w:tblpPr w:leftFromText="135" w:rightFromText="135" w:horzAnchor="margin" w:tblpXSpec="center" w:tblpYSpec="bottom"/>
        <w:tblOverlap w:val="never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5367"/>
        <w:gridCol w:w="2589"/>
        <w:gridCol w:w="112"/>
      </w:tblGrid>
      <w:tr>
        <w:trPr>
          <w:cantSplit/>
        </w:trPr>
        <w:tc>
          <w:tcPr>
            <w:tcW w:w="20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ind w:firstLineChars="200" w:firstLine="448"/>
              <w:contextualSpacing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5367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rPr>
                <w:rFonts w:ascii="方正仿宋简体" w:eastAsia="方正仿宋简体"/>
                <w:w w:val="80"/>
                <w:sz w:val="34"/>
                <w:szCs w:val="34"/>
              </w:rPr>
            </w:pP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>白山市浑江区十届人大</w:t>
            </w:r>
            <w:r>
              <w:rPr>
                <w:rFonts w:ascii="方正仿宋简体" w:eastAsia="方正仿宋简体"/>
                <w:w w:val="80"/>
                <w:sz w:val="34"/>
                <w:szCs w:val="34"/>
              </w:rPr>
              <w:t>五</w:t>
            </w: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 xml:space="preserve">次会议秘书处    </w:t>
            </w:r>
          </w:p>
        </w:tc>
        <w:tc>
          <w:tcPr>
            <w:tcW w:w="2589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rPr>
                <w:rFonts w:ascii="方正仿宋简体" w:eastAsia="方正仿宋简体"/>
                <w:w w:val="80"/>
                <w:sz w:val="34"/>
                <w:szCs w:val="34"/>
              </w:rPr>
            </w:pP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>202</w:t>
            </w:r>
            <w:r>
              <w:rPr>
                <w:rFonts w:ascii="方正仿宋简体" w:eastAsia="方正仿宋简体"/>
                <w:w w:val="80"/>
                <w:sz w:val="34"/>
                <w:szCs w:val="34"/>
              </w:rPr>
              <w:t>5</w:t>
            </w: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>年12月</w:t>
            </w:r>
            <w:r>
              <w:rPr>
                <w:rFonts w:ascii="方正仿宋简体" w:eastAsia="方正仿宋简体"/>
                <w:w w:val="80"/>
                <w:sz w:val="34"/>
                <w:szCs w:val="34"/>
              </w:rPr>
              <w:t>23</w:t>
            </w: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>日印</w:t>
            </w:r>
          </w:p>
        </w:tc>
        <w:tc>
          <w:tcPr>
            <w:tcW w:w="112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jc w:val="left"/>
              <w:rPr>
                <w:rFonts w:ascii="方正仿宋简体" w:eastAsia="方正仿宋简体"/>
                <w:sz w:val="34"/>
                <w:szCs w:val="34"/>
              </w:rPr>
            </w:pPr>
          </w:p>
        </w:tc>
      </w:tr>
    </w:tbl>
    <w:p>
      <w:pPr>
        <w:tabs>
          <w:tab w:val="left" w:pos="600"/>
        </w:tabs>
        <w:spacing w:line="14" w:lineRule="exact"/>
      </w:pPr>
    </w:p>
    <w:sectPr>
      <w:footerReference w:type="default" r:id="rId2"/>
      <w:pgSz w:w="11906" w:h="16838"/>
      <w:pgMar w:top="2211" w:right="1531" w:bottom="1871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简体">
    <w:altName w:val="Arial Unicode MS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楷体简体">
    <w:altName w:val="Arial Unicode MS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楷体_GB2312">
    <w:altName w:val="Arial Unicode MS"/>
    <w:panose1 w:val="00000000000000000000"/>
    <w:charset w:val="86"/>
    <w:family w:val="modern"/>
    <w:pitch w:val="variable"/>
    <w:sig w:usb0="00000000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- 6 -</w:t>
    </w:r>
    <w:r>
      <w:rPr>
        <w:sz w:val="24"/>
        <w:szCs w:val="24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ody Text Indent 2"/>
    <w:basedOn w:val="0"/>
    <w:pPr>
      <w:ind w:firstLineChars="197" w:firstLine="197"/>
    </w:pPr>
    <w:rPr>
      <w:rFonts w:ascii="Times New Roman" w:eastAsia="仿宋_GB2312" w:hAnsi="Times New Roman"/>
      <w:sz w:val="32"/>
      <w:szCs w:val="24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Body Text"/>
    <w:basedOn w:val="0"/>
    <w:pPr>
      <w:spacing w:after="120"/>
    </w:pPr>
  </w:style>
  <w:style w:type="paragraph" w:styleId="20">
    <w:name w:val="Body Text First Indent"/>
    <w:basedOn w:val="19"/>
    <w:pPr>
      <w:ind w:firstLine="420"/>
    </w:pPr>
  </w:style>
  <w:style w:type="paragraph" w:customStyle="1" w:styleId="21">
    <w:name w:val="western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1512</TotalTime>
  <Application>Yozo_Office</Application>
  <Pages>11</Pages>
  <Words>4984</Words>
  <Characters>5294</Characters>
  <Lines>225</Lines>
  <Paragraphs>51</Paragraphs>
  <CharactersWithSpaces>5301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CY</dc:creator>
  <cp:lastModifiedBy>CY</cp:lastModifiedBy>
  <cp:revision>9</cp:revision>
  <cp:lastPrinted>2025-12-16T07:25:14Z</cp:lastPrinted>
  <dcterms:created xsi:type="dcterms:W3CDTF">2024-11-26T14:27:00Z</dcterms:created>
</cp:coreProperties>
</file>